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7EB1" w14:textId="77777777" w:rsidR="003D534A" w:rsidRPr="005A38E8" w:rsidRDefault="003D534A" w:rsidP="003D534A">
      <w:pPr>
        <w:jc w:val="right"/>
        <w:rPr>
          <w:b/>
          <w:lang w:val="ro-RO"/>
        </w:rPr>
      </w:pPr>
      <w:r w:rsidRPr="005A38E8">
        <w:rPr>
          <w:b/>
          <w:lang w:val="ro-RO"/>
        </w:rPr>
        <w:t>PROIECT</w:t>
      </w:r>
    </w:p>
    <w:p w14:paraId="6A8F1EF2" w14:textId="77777777" w:rsidR="003D534A" w:rsidRPr="005A38E8" w:rsidRDefault="003D534A" w:rsidP="003D534A">
      <w:pPr>
        <w:jc w:val="center"/>
        <w:rPr>
          <w:b/>
          <w:lang w:val="ro-RO"/>
        </w:rPr>
      </w:pPr>
    </w:p>
    <w:p w14:paraId="0FA3112B" w14:textId="77777777" w:rsidR="003D534A" w:rsidRPr="005A38E8" w:rsidRDefault="003D534A" w:rsidP="003D534A">
      <w:pPr>
        <w:jc w:val="center"/>
        <w:rPr>
          <w:b/>
          <w:lang w:val="ro-RO"/>
        </w:rPr>
      </w:pPr>
      <w:r w:rsidRPr="005A38E8">
        <w:rPr>
          <w:b/>
          <w:lang w:val="ro-RO"/>
        </w:rPr>
        <w:t>BANCA NAȚIONAL</w:t>
      </w:r>
      <w:r w:rsidRPr="0094328C">
        <w:rPr>
          <w:b/>
          <w:lang w:val="ro-RO"/>
        </w:rPr>
        <w:t>Ă</w:t>
      </w:r>
      <w:r w:rsidRPr="005A38E8">
        <w:rPr>
          <w:b/>
          <w:lang w:val="ro-RO"/>
        </w:rPr>
        <w:t xml:space="preserve"> A MOLDOVEI</w:t>
      </w:r>
    </w:p>
    <w:p w14:paraId="7DD65DA2" w14:textId="77777777" w:rsidR="003D534A" w:rsidRPr="005A38E8" w:rsidRDefault="003D534A" w:rsidP="003D534A">
      <w:pPr>
        <w:jc w:val="center"/>
        <w:rPr>
          <w:b/>
          <w:lang w:val="ro-RO"/>
        </w:rPr>
      </w:pPr>
      <w:r w:rsidRPr="005A38E8">
        <w:rPr>
          <w:b/>
          <w:lang w:val="ro-RO"/>
        </w:rPr>
        <w:t>COMITETUL EXECUTIV</w:t>
      </w:r>
    </w:p>
    <w:p w14:paraId="23D306D7" w14:textId="77777777" w:rsidR="003D534A" w:rsidRPr="005A38E8" w:rsidRDefault="003D534A" w:rsidP="003D534A">
      <w:pPr>
        <w:rPr>
          <w:rFonts w:eastAsia="Times New Roman"/>
          <w:b/>
          <w:bCs/>
          <w:color w:val="3C3A37"/>
          <w:kern w:val="36"/>
          <w:lang w:val="ro-RO"/>
        </w:rPr>
      </w:pPr>
    </w:p>
    <w:p w14:paraId="71BA2AAA" w14:textId="77777777" w:rsidR="003D534A" w:rsidRPr="005A38E8" w:rsidRDefault="003D534A" w:rsidP="003D534A">
      <w:pPr>
        <w:jc w:val="center"/>
        <w:rPr>
          <w:b/>
          <w:lang w:val="ro-RO"/>
        </w:rPr>
      </w:pPr>
      <w:r w:rsidRPr="005A38E8">
        <w:rPr>
          <w:b/>
          <w:lang w:val="ro-RO"/>
        </w:rPr>
        <w:t>H O T Ă R Â R E A</w:t>
      </w:r>
    </w:p>
    <w:p w14:paraId="0E039D51" w14:textId="77777777" w:rsidR="003D534A" w:rsidRPr="005A38E8" w:rsidRDefault="003D534A" w:rsidP="003D534A">
      <w:pPr>
        <w:rPr>
          <w:lang w:val="ro-RO"/>
        </w:rPr>
      </w:pPr>
    </w:p>
    <w:p w14:paraId="3BB6F315" w14:textId="5914F103" w:rsidR="003D534A" w:rsidRPr="005A38E8" w:rsidRDefault="003D534A" w:rsidP="003D534A">
      <w:pPr>
        <w:jc w:val="center"/>
        <w:rPr>
          <w:b/>
          <w:lang w:val="ro-RO"/>
        </w:rPr>
      </w:pPr>
      <w:r w:rsidRPr="005A38E8">
        <w:rPr>
          <w:b/>
          <w:lang w:val="ro-RO"/>
        </w:rPr>
        <w:t>Nr. ___ din "__"__________202</w:t>
      </w:r>
      <w:r w:rsidR="00563368">
        <w:rPr>
          <w:b/>
          <w:lang w:val="ro-RO"/>
        </w:rPr>
        <w:t>_</w:t>
      </w:r>
    </w:p>
    <w:p w14:paraId="7498517B" w14:textId="77777777" w:rsidR="003D534A" w:rsidRPr="005A38E8" w:rsidRDefault="003D534A" w:rsidP="003D534A">
      <w:pPr>
        <w:rPr>
          <w:lang w:val="ro-RO"/>
        </w:rPr>
      </w:pPr>
    </w:p>
    <w:p w14:paraId="127AC842" w14:textId="77777777" w:rsidR="003D534A" w:rsidRPr="005A38E8" w:rsidRDefault="003D534A" w:rsidP="003D534A">
      <w:pPr>
        <w:ind w:firstLine="600"/>
        <w:rPr>
          <w:b/>
          <w:kern w:val="36"/>
          <w:lang w:val="ro-RO"/>
        </w:rPr>
      </w:pPr>
    </w:p>
    <w:p w14:paraId="09F4BDC0" w14:textId="7DD3A1D6" w:rsidR="00BB4A37" w:rsidRPr="0094328C" w:rsidRDefault="003D534A" w:rsidP="00AE3783">
      <w:pPr>
        <w:jc w:val="center"/>
        <w:rPr>
          <w:b/>
          <w:lang w:val="ro-RO"/>
        </w:rPr>
      </w:pPr>
      <w:r w:rsidRPr="0094328C">
        <w:rPr>
          <w:b/>
          <w:kern w:val="36"/>
          <w:lang w:val="ro-RO"/>
        </w:rPr>
        <w:t>Pentru modificarea</w:t>
      </w:r>
      <w:r w:rsidRPr="0094328C">
        <w:rPr>
          <w:b/>
          <w:lang w:val="ro-RO"/>
        </w:rPr>
        <w:t xml:space="preserve"> </w:t>
      </w:r>
    </w:p>
    <w:p w14:paraId="0959BD8D" w14:textId="7D2499D4" w:rsidR="00AE3783" w:rsidRPr="0094328C" w:rsidRDefault="00871FFC" w:rsidP="00871FFC">
      <w:pPr>
        <w:jc w:val="center"/>
        <w:rPr>
          <w:b/>
          <w:kern w:val="36"/>
          <w:lang w:val="ro-RO"/>
        </w:rPr>
      </w:pPr>
      <w:r w:rsidRPr="00A42A85">
        <w:rPr>
          <w:b/>
          <w:bCs/>
          <w:lang w:val="ro-RO"/>
        </w:rPr>
        <w:t>Hotărâr</w:t>
      </w:r>
      <w:r w:rsidR="00EB2B70">
        <w:rPr>
          <w:b/>
          <w:bCs/>
          <w:lang w:val="ro-RO"/>
        </w:rPr>
        <w:t>ii</w:t>
      </w:r>
      <w:r w:rsidRPr="00A42A85">
        <w:rPr>
          <w:b/>
          <w:bCs/>
          <w:lang w:val="ro-RO"/>
        </w:rPr>
        <w:t xml:space="preserve"> Comitetului executiv al Băncii </w:t>
      </w:r>
      <w:proofErr w:type="spellStart"/>
      <w:r w:rsidRPr="00A42A85">
        <w:rPr>
          <w:b/>
          <w:bCs/>
          <w:lang w:val="ro-RO"/>
        </w:rPr>
        <w:t>Naţionale</w:t>
      </w:r>
      <w:proofErr w:type="spellEnd"/>
      <w:r w:rsidRPr="00A42A85">
        <w:rPr>
          <w:b/>
          <w:bCs/>
          <w:lang w:val="ro-RO"/>
        </w:rPr>
        <w:t xml:space="preserve"> a Moldovei nr. 245/2019 pentru aprobarea Instrucțiunii privind modul de prezentare a rapoartelor în formă electronică la Banca Națională a Moldovei </w:t>
      </w:r>
      <w:r w:rsidR="00BB4A37" w:rsidRPr="0094328C">
        <w:rPr>
          <w:b/>
          <w:kern w:val="36"/>
          <w:lang w:val="ro-RO"/>
        </w:rPr>
        <w:t xml:space="preserve">și </w:t>
      </w:r>
      <w:r w:rsidR="00EB2B70">
        <w:rPr>
          <w:b/>
          <w:kern w:val="36"/>
          <w:lang w:val="ro-RO"/>
        </w:rPr>
        <w:t xml:space="preserve">a unor acte normative </w:t>
      </w:r>
      <w:r w:rsidR="00D410D2">
        <w:rPr>
          <w:b/>
          <w:kern w:val="36"/>
          <w:lang w:val="ro-RO"/>
        </w:rPr>
        <w:t>(</w:t>
      </w:r>
      <w:r w:rsidR="00EB2B70">
        <w:rPr>
          <w:b/>
          <w:kern w:val="36"/>
          <w:lang w:val="ro-RO"/>
        </w:rPr>
        <w:t>modul de prezentare a rapoartelor la Banca Națională a Moldovei</w:t>
      </w:r>
      <w:r w:rsidR="00BB4A37" w:rsidRPr="0094328C">
        <w:rPr>
          <w:b/>
          <w:kern w:val="36"/>
          <w:lang w:val="ro-RO"/>
        </w:rPr>
        <w:t>)</w:t>
      </w:r>
    </w:p>
    <w:p w14:paraId="1CA233CD" w14:textId="105AB92A" w:rsidR="003D534A" w:rsidRPr="0094328C" w:rsidRDefault="00AE3783" w:rsidP="00F258C9">
      <w:pPr>
        <w:jc w:val="center"/>
        <w:rPr>
          <w:b/>
          <w:kern w:val="36"/>
          <w:lang w:val="ro-RO"/>
        </w:rPr>
      </w:pPr>
      <w:r w:rsidRPr="0094328C">
        <w:rPr>
          <w:b/>
          <w:kern w:val="36"/>
          <w:lang w:val="ro-RO"/>
        </w:rPr>
        <w:br/>
      </w:r>
      <w:bookmarkStart w:id="0" w:name="_Hlk152667126"/>
    </w:p>
    <w:p w14:paraId="37D6980A" w14:textId="0ED738D2" w:rsidR="003D534A" w:rsidRPr="005A38E8" w:rsidRDefault="00307D22" w:rsidP="00824ECD">
      <w:pPr>
        <w:spacing w:line="276" w:lineRule="auto"/>
        <w:ind w:firstLine="600"/>
        <w:jc w:val="both"/>
        <w:rPr>
          <w:rFonts w:eastAsia="Times New Roman"/>
          <w:lang w:val="ro-RO"/>
        </w:rPr>
      </w:pPr>
      <w:r w:rsidRPr="0094328C">
        <w:rPr>
          <w:lang w:val="ro-RO" w:eastAsia="ro-MD"/>
        </w:rPr>
        <w:t xml:space="preserve">În temeiul art.5 alin.(1) </w:t>
      </w:r>
      <w:proofErr w:type="spellStart"/>
      <w:r w:rsidRPr="0094328C">
        <w:rPr>
          <w:lang w:val="ro-RO" w:eastAsia="ro-MD"/>
        </w:rPr>
        <w:t>lit.d</w:t>
      </w:r>
      <w:proofErr w:type="spellEnd"/>
      <w:r w:rsidRPr="0094328C">
        <w:rPr>
          <w:lang w:val="ro-RO" w:eastAsia="ro-MD"/>
        </w:rPr>
        <w:t>), m) și p), art.11 alin.(1), art.47</w:t>
      </w:r>
      <w:r w:rsidR="005E3100" w:rsidRPr="0094328C">
        <w:rPr>
          <w:lang w:val="ro-RO" w:eastAsia="ro-MD"/>
        </w:rPr>
        <w:t xml:space="preserve"> și</w:t>
      </w:r>
      <w:r w:rsidRPr="0094328C">
        <w:rPr>
          <w:lang w:val="ro-RO" w:eastAsia="ro-MD"/>
        </w:rPr>
        <w:t xml:space="preserve"> 72 din Legea nr.548/1995 cu privire la Banca </w:t>
      </w:r>
      <w:proofErr w:type="spellStart"/>
      <w:r w:rsidRPr="0094328C">
        <w:rPr>
          <w:lang w:val="ro-RO" w:eastAsia="ro-MD"/>
        </w:rPr>
        <w:t>Naţională</w:t>
      </w:r>
      <w:proofErr w:type="spellEnd"/>
      <w:r w:rsidRPr="0094328C">
        <w:rPr>
          <w:lang w:val="ro-RO" w:eastAsia="ro-MD"/>
        </w:rPr>
        <w:t xml:space="preserve"> a Moldovei (republicată în Monitorul Oficial al Republicii Moldova, 2015, nr.297-300, art.544), cu modificările ulterioare, art.84 </w:t>
      </w:r>
      <w:proofErr w:type="spellStart"/>
      <w:r w:rsidRPr="0094328C">
        <w:rPr>
          <w:lang w:val="ro-RO" w:eastAsia="ro-MD"/>
        </w:rPr>
        <w:t>şi</w:t>
      </w:r>
      <w:proofErr w:type="spellEnd"/>
      <w:r w:rsidRPr="0094328C">
        <w:rPr>
          <w:lang w:val="ro-RO" w:eastAsia="ro-MD"/>
        </w:rPr>
        <w:t xml:space="preserve"> 86 din Legea nr.202/2017 privind activitatea băncilor (Monitorul Oficial al Republicii Moldova, 2017, nr.434-439, art.727), cu modificările ulterioare, art.94 alin.(1) </w:t>
      </w:r>
      <w:proofErr w:type="spellStart"/>
      <w:r w:rsidRPr="0094328C">
        <w:rPr>
          <w:lang w:val="ro-RO" w:eastAsia="ro-MD"/>
        </w:rPr>
        <w:t>lit.c</w:t>
      </w:r>
      <w:proofErr w:type="spellEnd"/>
      <w:r w:rsidRPr="0094328C">
        <w:rPr>
          <w:lang w:val="ro-RO" w:eastAsia="ro-MD"/>
        </w:rPr>
        <w:t xml:space="preserve">) </w:t>
      </w:r>
      <w:proofErr w:type="spellStart"/>
      <w:r w:rsidRPr="0094328C">
        <w:rPr>
          <w:lang w:val="ro-RO" w:eastAsia="ro-MD"/>
        </w:rPr>
        <w:t>şi</w:t>
      </w:r>
      <w:proofErr w:type="spellEnd"/>
      <w:r w:rsidRPr="0094328C">
        <w:rPr>
          <w:lang w:val="ro-RO" w:eastAsia="ro-MD"/>
        </w:rPr>
        <w:t xml:space="preserve"> art.96 din Legea nr.114/2012 cu privire la serviciile de plată </w:t>
      </w:r>
      <w:proofErr w:type="spellStart"/>
      <w:r w:rsidRPr="0094328C">
        <w:rPr>
          <w:lang w:val="ro-RO" w:eastAsia="ro-MD"/>
        </w:rPr>
        <w:t>şi</w:t>
      </w:r>
      <w:proofErr w:type="spellEnd"/>
      <w:r w:rsidRPr="0094328C">
        <w:rPr>
          <w:lang w:val="ro-RO" w:eastAsia="ro-MD"/>
        </w:rPr>
        <w:t xml:space="preserve"> moneda electronică (Monitorul Oficial al Republicii Moldova, 2012, nr.193-197, art.661), cu modificările ulterioare, art.115 alin. (3) și (4), art.118 alin (1) din Legea nr.92/2022 privind activitatea de asigurare sau de reasigurare (Monitorul Oficial al Republicii Moldova, 2022, nr.129-133, art.229), art.44 alin.(2) și art.46 alin (5) din Legea asociațiilor de economii și împrumut nr.139</w:t>
      </w:r>
      <w:r w:rsidR="004E1413" w:rsidRPr="0094328C" w:rsidDel="004E1413">
        <w:rPr>
          <w:lang w:val="ro-RO" w:eastAsia="ro-MD"/>
        </w:rPr>
        <w:t xml:space="preserve"> </w:t>
      </w:r>
      <w:r w:rsidRPr="0094328C">
        <w:rPr>
          <w:lang w:val="ro-RO" w:eastAsia="ro-MD"/>
        </w:rPr>
        <w:t xml:space="preserve">/2007 (Monitorul Oficial al Republicii Moldova, 2007, nr.112-116, art.506), cu modificările ulterioare, art.23 alin. (4) </w:t>
      </w:r>
      <w:proofErr w:type="spellStart"/>
      <w:r w:rsidRPr="0094328C">
        <w:rPr>
          <w:lang w:val="ro-RO" w:eastAsia="ro-MD"/>
        </w:rPr>
        <w:t>lit.d</w:t>
      </w:r>
      <w:proofErr w:type="spellEnd"/>
      <w:r w:rsidRPr="0094328C">
        <w:rPr>
          <w:lang w:val="ro-RO" w:eastAsia="ro-MD"/>
        </w:rPr>
        <w:t>) și alin. (6) din Legea nr.1/2018 cu privire la organizațiile de creditare nebancară (Monitorul Oficial al Republicii Moldova, 2018, nr.108-112, art.200), cu modificările ulterioare, art.33 alin. (3) lit. a) din Legea nr.106/2022 privind asigurarea obligatorie de răspundere civilă auto pentru pagube produse de vehicule (Monitorul Oficial al Republicii Moldova, 2022, nr. 129-133, art.239)</w:t>
      </w:r>
      <w:r w:rsidR="00E37006">
        <w:rPr>
          <w:lang w:val="ro-RO" w:eastAsia="ro-MD"/>
        </w:rPr>
        <w:t>,</w:t>
      </w:r>
      <w:r w:rsidRPr="0094328C">
        <w:rPr>
          <w:lang w:val="ro-RO" w:eastAsia="ro-MD"/>
        </w:rPr>
        <w:t xml:space="preserve"> precum și art.17 alin. (3) </w:t>
      </w:r>
      <w:proofErr w:type="spellStart"/>
      <w:r w:rsidRPr="0094328C">
        <w:rPr>
          <w:lang w:val="ro-RO" w:eastAsia="ro-MD"/>
        </w:rPr>
        <w:t>lit.g</w:t>
      </w:r>
      <w:proofErr w:type="spellEnd"/>
      <w:r w:rsidRPr="0094328C">
        <w:rPr>
          <w:lang w:val="ro-RO" w:eastAsia="ro-MD"/>
        </w:rPr>
        <w:t xml:space="preserve">) din Legea nr.122/2008 privind birourile istoriilor de credit (republicată în Monitorul Oficial al Republicii Moldova, 2017, nr.316-321, art.546), </w:t>
      </w:r>
      <w:bookmarkEnd w:id="0"/>
      <w:r w:rsidRPr="0094328C">
        <w:rPr>
          <w:lang w:val="ro-RO" w:eastAsia="ro-MD"/>
        </w:rPr>
        <w:t>cu modificările ulterioare</w:t>
      </w:r>
      <w:r w:rsidR="00FC046C" w:rsidRPr="0094328C">
        <w:rPr>
          <w:lang w:val="ro-RO" w:eastAsia="ro-MD"/>
        </w:rPr>
        <w:t xml:space="preserve"> </w:t>
      </w:r>
      <w:r w:rsidR="00FC046C" w:rsidRPr="005A38E8">
        <w:rPr>
          <w:bCs/>
          <w:lang w:val="ro-RO"/>
        </w:rPr>
        <w:t xml:space="preserve">și </w:t>
      </w:r>
      <w:proofErr w:type="spellStart"/>
      <w:r w:rsidR="00FC046C" w:rsidRPr="005A38E8">
        <w:rPr>
          <w:bCs/>
          <w:lang w:val="ro-RO"/>
        </w:rPr>
        <w:t>art.X</w:t>
      </w:r>
      <w:proofErr w:type="spellEnd"/>
      <w:r w:rsidR="00FC046C" w:rsidRPr="005A38E8">
        <w:rPr>
          <w:bCs/>
          <w:lang w:val="ro-RO"/>
        </w:rPr>
        <w:t xml:space="preserve"> alin.(6) din Legea nr.214/2023 pentru modificarea unor acte normative (asigurarea transferului de atribuții conform Legii nr.178/2020 pentru modificarea unor acte normative)</w:t>
      </w:r>
      <w:r w:rsidR="00E37006">
        <w:rPr>
          <w:bCs/>
          <w:lang w:val="ro-RO"/>
        </w:rPr>
        <w:t>,</w:t>
      </w:r>
      <w:r w:rsidR="00FC046C" w:rsidRPr="005A38E8">
        <w:rPr>
          <w:bCs/>
          <w:lang w:val="ro-RO"/>
        </w:rPr>
        <w:t xml:space="preserve"> (Monitorul Oficial al Republicii Moldova, 2023, nr.287-290, art.504), </w:t>
      </w:r>
      <w:r w:rsidRPr="005A38E8">
        <w:rPr>
          <w:lang w:val="ro-RO" w:eastAsia="ro-MD"/>
        </w:rPr>
        <w:t xml:space="preserve">Comitetul executiv al Băncii </w:t>
      </w:r>
      <w:proofErr w:type="spellStart"/>
      <w:r w:rsidRPr="005A38E8">
        <w:rPr>
          <w:lang w:val="ro-RO" w:eastAsia="ro-MD"/>
        </w:rPr>
        <w:t>Naţionale</w:t>
      </w:r>
      <w:proofErr w:type="spellEnd"/>
      <w:r w:rsidRPr="005A38E8">
        <w:rPr>
          <w:lang w:val="ro-RO" w:eastAsia="ro-MD"/>
        </w:rPr>
        <w:t xml:space="preserve"> a Moldovei</w:t>
      </w:r>
    </w:p>
    <w:p w14:paraId="3E938BDA" w14:textId="77777777" w:rsidR="003D534A" w:rsidRPr="005A38E8" w:rsidRDefault="003D534A" w:rsidP="00824ECD">
      <w:pPr>
        <w:spacing w:line="276" w:lineRule="auto"/>
        <w:jc w:val="both"/>
        <w:rPr>
          <w:rFonts w:eastAsia="Times New Roman"/>
          <w:lang w:val="ro-RO"/>
        </w:rPr>
      </w:pPr>
    </w:p>
    <w:p w14:paraId="3D690A54" w14:textId="77777777" w:rsidR="003D534A" w:rsidRPr="005A38E8" w:rsidRDefault="003D534A" w:rsidP="00824ECD">
      <w:pPr>
        <w:shd w:val="clear" w:color="auto" w:fill="FFFFFF" w:themeFill="background1"/>
        <w:spacing w:line="276" w:lineRule="auto"/>
        <w:jc w:val="center"/>
        <w:rPr>
          <w:rFonts w:eastAsia="Times New Roman"/>
          <w:b/>
          <w:bCs/>
          <w:lang w:val="ro-RO"/>
        </w:rPr>
      </w:pPr>
      <w:r w:rsidRPr="005A38E8">
        <w:rPr>
          <w:rFonts w:eastAsia="Times New Roman"/>
          <w:b/>
          <w:bCs/>
          <w:lang w:val="ro-RO"/>
        </w:rPr>
        <w:t>HOTĂRĂȘTE:</w:t>
      </w:r>
    </w:p>
    <w:p w14:paraId="01BE1415" w14:textId="77777777" w:rsidR="003D534A" w:rsidRPr="005A38E8" w:rsidRDefault="003D534A" w:rsidP="00824ECD">
      <w:pPr>
        <w:spacing w:line="276" w:lineRule="auto"/>
        <w:jc w:val="both"/>
        <w:rPr>
          <w:rFonts w:eastAsia="Times New Roman"/>
          <w:b/>
          <w:bCs/>
          <w:lang w:val="ro-RO"/>
        </w:rPr>
      </w:pPr>
    </w:p>
    <w:p w14:paraId="2FA525B0" w14:textId="69961BAD" w:rsidR="00F258C9" w:rsidRPr="0074254F" w:rsidRDefault="00873A7D" w:rsidP="006A0459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bCs/>
          <w:lang w:val="ro-RO"/>
        </w:rPr>
      </w:pPr>
      <w:r w:rsidRPr="0074254F">
        <w:rPr>
          <w:b/>
          <w:bCs/>
          <w:lang w:val="ro-RO"/>
        </w:rPr>
        <w:t xml:space="preserve">Hotărârea Comitetului executiv al Băncii </w:t>
      </w:r>
      <w:proofErr w:type="spellStart"/>
      <w:r w:rsidRPr="0074254F">
        <w:rPr>
          <w:b/>
          <w:bCs/>
          <w:lang w:val="ro-RO"/>
        </w:rPr>
        <w:t>Naţionale</w:t>
      </w:r>
      <w:proofErr w:type="spellEnd"/>
      <w:r w:rsidRPr="0074254F">
        <w:rPr>
          <w:b/>
          <w:bCs/>
          <w:lang w:val="ro-RO"/>
        </w:rPr>
        <w:t xml:space="preserve"> a Moldovei nr.</w:t>
      </w:r>
      <w:r w:rsidR="00F258C9" w:rsidRPr="0074254F">
        <w:rPr>
          <w:b/>
          <w:bCs/>
          <w:lang w:val="ro-RO"/>
        </w:rPr>
        <w:t xml:space="preserve"> </w:t>
      </w:r>
      <w:r w:rsidRPr="0074254F">
        <w:rPr>
          <w:b/>
          <w:bCs/>
          <w:lang w:val="ro-RO"/>
        </w:rPr>
        <w:t>245/2019</w:t>
      </w:r>
      <w:r w:rsidR="0076535B" w:rsidRPr="0074254F">
        <w:rPr>
          <w:b/>
          <w:bCs/>
          <w:lang w:val="ro-RO"/>
        </w:rPr>
        <w:t xml:space="preserve"> pentru aprobarea Instrucțiunii privind modul de prezentare a rapoartelor în formă electronică</w:t>
      </w:r>
      <w:r w:rsidR="002010A1" w:rsidRPr="0074254F">
        <w:rPr>
          <w:b/>
          <w:bCs/>
          <w:lang w:val="ro-RO"/>
        </w:rPr>
        <w:t xml:space="preserve"> la Banca Națională a Moldovei</w:t>
      </w:r>
      <w:r w:rsidRPr="0074254F">
        <w:rPr>
          <w:b/>
          <w:bCs/>
          <w:lang w:val="ro-RO"/>
        </w:rPr>
        <w:t xml:space="preserve"> (Monitorul Oficial al Republicii Moldova, 2019, nr.315-319, art.1822), </w:t>
      </w:r>
      <w:r w:rsidR="00B57134" w:rsidRPr="0074254F">
        <w:rPr>
          <w:b/>
          <w:bCs/>
          <w:lang w:val="ro-RO"/>
        </w:rPr>
        <w:t xml:space="preserve">cu modificările ulterioare, înregistrată la Ministerul Justiției al Republicii Moldova cu nr. 1493 din 17 octombrie 2019, </w:t>
      </w:r>
      <w:r w:rsidRPr="0074254F">
        <w:rPr>
          <w:b/>
          <w:bCs/>
          <w:lang w:val="ro-RO"/>
        </w:rPr>
        <w:t>se modifică după cum urmează:</w:t>
      </w:r>
    </w:p>
    <w:p w14:paraId="141CCDFE" w14:textId="23BD08B0" w:rsidR="00CB0D28" w:rsidRPr="005A38E8" w:rsidRDefault="00873A7D" w:rsidP="00DC5A43">
      <w:pPr>
        <w:spacing w:line="276" w:lineRule="auto"/>
        <w:jc w:val="both"/>
        <w:rPr>
          <w:lang w:val="ro-RO"/>
        </w:rPr>
      </w:pPr>
      <w:r w:rsidRPr="005A38E8">
        <w:rPr>
          <w:lang w:val="ro-RO"/>
        </w:rPr>
        <w:t xml:space="preserve"> </w:t>
      </w:r>
    </w:p>
    <w:p w14:paraId="1BD55A48" w14:textId="2D5C2776" w:rsidR="0076535B" w:rsidRPr="0074254F" w:rsidRDefault="00A7742D" w:rsidP="004B60DF">
      <w:pPr>
        <w:pStyle w:val="ListParagraph"/>
        <w:spacing w:line="276" w:lineRule="auto"/>
        <w:ind w:left="928" w:hanging="361"/>
        <w:jc w:val="both"/>
        <w:rPr>
          <w:lang w:val="ro-RO"/>
        </w:rPr>
      </w:pPr>
      <w:r>
        <w:rPr>
          <w:lang w:val="ro-RO"/>
        </w:rPr>
        <w:t xml:space="preserve">1.1 </w:t>
      </w:r>
      <w:r w:rsidR="0076535B" w:rsidRPr="0074254F">
        <w:rPr>
          <w:lang w:val="ro-RO"/>
        </w:rPr>
        <w:t xml:space="preserve">temeiul legal al hotărârii va avea următorul </w:t>
      </w:r>
      <w:proofErr w:type="spellStart"/>
      <w:r w:rsidR="0076535B" w:rsidRPr="0074254F">
        <w:rPr>
          <w:lang w:val="ro-RO"/>
        </w:rPr>
        <w:t>cupris</w:t>
      </w:r>
      <w:proofErr w:type="spellEnd"/>
      <w:r w:rsidR="0076535B" w:rsidRPr="0074254F">
        <w:rPr>
          <w:lang w:val="ro-RO"/>
        </w:rPr>
        <w:t>:</w:t>
      </w:r>
    </w:p>
    <w:p w14:paraId="043A2F76" w14:textId="7CE813EF" w:rsidR="0076535B" w:rsidRDefault="0076535B" w:rsidP="0074254F">
      <w:pPr>
        <w:pStyle w:val="ListParagraph"/>
        <w:spacing w:after="120" w:line="276" w:lineRule="auto"/>
        <w:ind w:left="0" w:firstLine="562"/>
        <w:jc w:val="both"/>
        <w:rPr>
          <w:lang w:val="ro-RO"/>
        </w:rPr>
      </w:pPr>
      <w:r>
        <w:rPr>
          <w:lang w:val="ro-RO"/>
        </w:rPr>
        <w:lastRenderedPageBreak/>
        <w:t>„</w:t>
      </w:r>
      <w:r w:rsidRPr="0076535B">
        <w:rPr>
          <w:lang w:val="ro-RO"/>
        </w:rPr>
        <w:t xml:space="preserve">În temeiul art.5 alin.(1) </w:t>
      </w:r>
      <w:proofErr w:type="spellStart"/>
      <w:r w:rsidRPr="0076535B">
        <w:rPr>
          <w:lang w:val="ro-RO"/>
        </w:rPr>
        <w:t>lit.d</w:t>
      </w:r>
      <w:proofErr w:type="spellEnd"/>
      <w:r w:rsidRPr="0076535B">
        <w:rPr>
          <w:lang w:val="ro-RO"/>
        </w:rPr>
        <w:t>)</w:t>
      </w:r>
      <w:r w:rsidR="00E37006">
        <w:rPr>
          <w:lang w:val="ro-RO"/>
        </w:rPr>
        <w:t>,</w:t>
      </w:r>
      <w:r w:rsidRPr="0076535B">
        <w:rPr>
          <w:lang w:val="ro-RO"/>
        </w:rPr>
        <w:t xml:space="preserve"> m)</w:t>
      </w:r>
      <w:r w:rsidR="00E37006">
        <w:rPr>
          <w:lang w:val="ro-RO"/>
        </w:rPr>
        <w:t xml:space="preserve"> și</w:t>
      </w:r>
      <w:r w:rsidRPr="0076535B">
        <w:rPr>
          <w:lang w:val="ro-RO"/>
        </w:rPr>
        <w:t xml:space="preserve"> p)</w:t>
      </w:r>
      <w:r w:rsidR="00E37006">
        <w:rPr>
          <w:lang w:val="ro-RO"/>
        </w:rPr>
        <w:t>,</w:t>
      </w:r>
      <w:r w:rsidRPr="0076535B">
        <w:rPr>
          <w:lang w:val="ro-RO"/>
        </w:rPr>
        <w:t xml:space="preserve"> art.11 alin.(1), art.47</w:t>
      </w:r>
      <w:r w:rsidR="00E37006">
        <w:rPr>
          <w:lang w:val="ro-RO"/>
        </w:rPr>
        <w:t xml:space="preserve"> și</w:t>
      </w:r>
      <w:r w:rsidRPr="0076535B">
        <w:rPr>
          <w:lang w:val="ro-RO"/>
        </w:rPr>
        <w:t xml:space="preserve"> 72 din Legea nr.548/1995 cu privire la Banca </w:t>
      </w:r>
      <w:proofErr w:type="spellStart"/>
      <w:r w:rsidRPr="0076535B">
        <w:rPr>
          <w:lang w:val="ro-RO"/>
        </w:rPr>
        <w:t>Naţională</w:t>
      </w:r>
      <w:proofErr w:type="spellEnd"/>
      <w:r w:rsidRPr="0076535B">
        <w:rPr>
          <w:lang w:val="ro-RO"/>
        </w:rPr>
        <w:t xml:space="preserve"> a Moldovei (republicată în Monitorul Oficial al Republicii Moldova, 2015, nr.297-300, art.544), cu modificările ulterioare, art.84 </w:t>
      </w:r>
      <w:proofErr w:type="spellStart"/>
      <w:r w:rsidRPr="0076535B">
        <w:rPr>
          <w:lang w:val="ro-RO"/>
        </w:rPr>
        <w:t>şi</w:t>
      </w:r>
      <w:proofErr w:type="spellEnd"/>
      <w:r w:rsidRPr="0076535B">
        <w:rPr>
          <w:lang w:val="ro-RO"/>
        </w:rPr>
        <w:t xml:space="preserve"> 86 din Legea nr.202/2017 privind activitatea băncilor (Monitorul Oficial al Republicii Moldova, 2017, nr.434-439, art.727), cu modificările ulterioare, art.94 alin.(1) </w:t>
      </w:r>
      <w:proofErr w:type="spellStart"/>
      <w:r w:rsidRPr="0076535B">
        <w:rPr>
          <w:lang w:val="ro-RO"/>
        </w:rPr>
        <w:t>lit.c</w:t>
      </w:r>
      <w:proofErr w:type="spellEnd"/>
      <w:r w:rsidRPr="0076535B">
        <w:rPr>
          <w:lang w:val="ro-RO"/>
        </w:rPr>
        <w:t xml:space="preserve">) </w:t>
      </w:r>
      <w:proofErr w:type="spellStart"/>
      <w:r w:rsidRPr="0076535B">
        <w:rPr>
          <w:lang w:val="ro-RO"/>
        </w:rPr>
        <w:t>şi</w:t>
      </w:r>
      <w:proofErr w:type="spellEnd"/>
      <w:r w:rsidRPr="0076535B">
        <w:rPr>
          <w:lang w:val="ro-RO"/>
        </w:rPr>
        <w:t xml:space="preserve"> art.96 din Legea nr.114/2012 cu privire la serviciile de plată </w:t>
      </w:r>
      <w:proofErr w:type="spellStart"/>
      <w:r w:rsidRPr="0076535B">
        <w:rPr>
          <w:lang w:val="ro-RO"/>
        </w:rPr>
        <w:t>şi</w:t>
      </w:r>
      <w:proofErr w:type="spellEnd"/>
      <w:r w:rsidRPr="0076535B">
        <w:rPr>
          <w:lang w:val="ro-RO"/>
        </w:rPr>
        <w:t xml:space="preserve"> moneda electronică (Monitorul Oficial al Republicii Moldova, 2012, nr.193-197, art.661), cu modificările ulterioare, art.115 alin. (3) și (4), art.118 alin (1) din Legea nr.92/2022 privind activitatea de asigurare sau de reasigurare (Monitorul Oficial al Republicii Moldova, 2022, nr.129-133, art.229), art.44 alin.(2) și art.46 alin (5) din Legea asociațiilor de economii și împrumut nr.139/2007 (Monitorul Oficial al Republicii Moldova, 2007, nr.112-116, art.506), cu modificările ulterioare, art.23 alin. (4) </w:t>
      </w:r>
      <w:proofErr w:type="spellStart"/>
      <w:r w:rsidRPr="0076535B">
        <w:rPr>
          <w:lang w:val="ro-RO"/>
        </w:rPr>
        <w:t>lit.d</w:t>
      </w:r>
      <w:proofErr w:type="spellEnd"/>
      <w:r w:rsidRPr="0076535B">
        <w:rPr>
          <w:lang w:val="ro-RO"/>
        </w:rPr>
        <w:t>) și alin. (6) din Legea nr.1/2018 cu privire la organizațiile de creditare nebancară (Monitorul Oficial al Republicii Moldova, 2018, nr.108-112, art.200), cu modificările ulterioare, art.33 alin. (3) lit. a) din Legea nr.106/2022 privind asigurarea obligatorie de răspundere civilă auto pentru pagube produse de vehicule (Monitorul Oficial al Republicii Moldova, 2022, nr. 129-133, art.239)</w:t>
      </w:r>
      <w:r w:rsidR="00E37006">
        <w:rPr>
          <w:lang w:val="ro-RO"/>
        </w:rPr>
        <w:t>,</w:t>
      </w:r>
      <w:r w:rsidRPr="0076535B">
        <w:rPr>
          <w:lang w:val="ro-RO"/>
        </w:rPr>
        <w:t xml:space="preserve"> precum și art.17 alin. (3) </w:t>
      </w:r>
      <w:proofErr w:type="spellStart"/>
      <w:r w:rsidRPr="0076535B">
        <w:rPr>
          <w:lang w:val="ro-RO"/>
        </w:rPr>
        <w:t>lit.g</w:t>
      </w:r>
      <w:proofErr w:type="spellEnd"/>
      <w:r w:rsidRPr="0076535B">
        <w:rPr>
          <w:lang w:val="ro-RO"/>
        </w:rPr>
        <w:t xml:space="preserve">) din Legea nr.122/2008 privind birourile istoriilor de credit (republicată în Monitorul Oficial al Republicii Moldova, 2017, nr.316-321, art.546), cu modificările ulterioare, Comitetul executiv al Băncii </w:t>
      </w:r>
      <w:proofErr w:type="spellStart"/>
      <w:r w:rsidRPr="0076535B">
        <w:rPr>
          <w:lang w:val="ro-RO"/>
        </w:rPr>
        <w:t>Naţionale</w:t>
      </w:r>
      <w:proofErr w:type="spellEnd"/>
      <w:r w:rsidRPr="0076535B">
        <w:rPr>
          <w:lang w:val="ro-RO"/>
        </w:rPr>
        <w:t xml:space="preserve"> a Moldovei</w:t>
      </w:r>
      <w:r>
        <w:rPr>
          <w:lang w:val="ro-RO"/>
        </w:rPr>
        <w:t>”;</w:t>
      </w:r>
    </w:p>
    <w:p w14:paraId="43749F87" w14:textId="6E51AC7C" w:rsidR="002010A1" w:rsidRPr="004B60DF" w:rsidRDefault="00A7742D" w:rsidP="004B60DF">
      <w:pPr>
        <w:pStyle w:val="ListParagraph"/>
        <w:numPr>
          <w:ilvl w:val="1"/>
          <w:numId w:val="38"/>
        </w:numPr>
        <w:spacing w:line="276" w:lineRule="auto"/>
        <w:ind w:left="0" w:firstLine="568"/>
        <w:jc w:val="both"/>
        <w:rPr>
          <w:lang w:val="ro-RO"/>
        </w:rPr>
      </w:pPr>
      <w:r>
        <w:rPr>
          <w:lang w:val="ro-RO"/>
        </w:rPr>
        <w:t xml:space="preserve"> </w:t>
      </w:r>
      <w:r w:rsidR="00E37006" w:rsidRPr="004B60DF">
        <w:rPr>
          <w:lang w:val="ro-RO"/>
        </w:rPr>
        <w:t>a</w:t>
      </w:r>
      <w:r w:rsidR="002010A1" w:rsidRPr="004B60DF">
        <w:rPr>
          <w:lang w:val="ro-RO"/>
        </w:rPr>
        <w:t>nexa hotărârii „Instrucțiunea privind modul de prezentare a rapoartelor în formă electronică la Banca Națională a Moldovei” se modifică după cum urmează:</w:t>
      </w:r>
    </w:p>
    <w:p w14:paraId="22CCC9F4" w14:textId="62BB6227" w:rsidR="00FE4ABD" w:rsidRPr="005A38E8" w:rsidRDefault="007D6E91" w:rsidP="004B60DF">
      <w:pPr>
        <w:pStyle w:val="ListParagraph"/>
        <w:spacing w:before="120" w:after="120" w:line="276" w:lineRule="auto"/>
        <w:ind w:left="567"/>
        <w:jc w:val="both"/>
        <w:rPr>
          <w:lang w:val="ro-RO"/>
        </w:rPr>
      </w:pPr>
      <w:r>
        <w:rPr>
          <w:lang w:val="ro-RO"/>
        </w:rPr>
        <w:t>1.2.1</w:t>
      </w:r>
      <w:r w:rsidR="002010A1">
        <w:rPr>
          <w:lang w:val="ro-RO"/>
        </w:rPr>
        <w:t xml:space="preserve"> </w:t>
      </w:r>
      <w:r w:rsidR="003F74AD" w:rsidRPr="005A38E8">
        <w:rPr>
          <w:lang w:val="ro-RO"/>
        </w:rPr>
        <w:t xml:space="preserve">pct. </w:t>
      </w:r>
      <w:r w:rsidR="004423A0" w:rsidRPr="005A38E8">
        <w:rPr>
          <w:lang w:val="ro-RO"/>
        </w:rPr>
        <w:t>2 va avea următorul cuprins</w:t>
      </w:r>
      <w:r w:rsidR="00BC55A0" w:rsidRPr="005A38E8">
        <w:rPr>
          <w:lang w:val="ro-RO"/>
        </w:rPr>
        <w:t>:</w:t>
      </w:r>
    </w:p>
    <w:p w14:paraId="7EA4D267" w14:textId="77777777" w:rsidR="00B032A8" w:rsidRPr="0094328C" w:rsidRDefault="00854D1C" w:rsidP="006A0459">
      <w:pPr>
        <w:ind w:firstLine="567"/>
        <w:jc w:val="both"/>
        <w:rPr>
          <w:rFonts w:eastAsia="Times New Roman"/>
          <w:i/>
          <w:iCs/>
          <w:lang w:val="ro-RO" w:eastAsia="ro-MD"/>
        </w:rPr>
      </w:pPr>
      <w:r w:rsidRPr="005A38E8">
        <w:rPr>
          <w:lang w:val="ro-RO"/>
        </w:rPr>
        <w:t>„</w:t>
      </w:r>
      <w:r w:rsidR="002939B6" w:rsidRPr="005A38E8">
        <w:rPr>
          <w:b/>
          <w:bCs/>
          <w:lang w:val="ro-RO"/>
        </w:rPr>
        <w:t>2.</w:t>
      </w:r>
      <w:r w:rsidR="002939B6" w:rsidRPr="005A38E8">
        <w:rPr>
          <w:lang w:val="ro-RO"/>
        </w:rPr>
        <w:t xml:space="preserve"> </w:t>
      </w:r>
      <w:r w:rsidR="00FE4ABD" w:rsidRPr="0094328C">
        <w:rPr>
          <w:rFonts w:eastAsia="Times New Roman"/>
          <w:lang w:val="ro-RO" w:eastAsia="ro-MD"/>
        </w:rPr>
        <w:t xml:space="preserve">În sensul prezentei instrucțiuni, se definesc următoarele </w:t>
      </w:r>
      <w:proofErr w:type="spellStart"/>
      <w:r w:rsidR="00FE4ABD" w:rsidRPr="0094328C">
        <w:rPr>
          <w:rFonts w:eastAsia="Times New Roman"/>
          <w:lang w:val="ro-RO" w:eastAsia="ro-MD"/>
        </w:rPr>
        <w:t>noţiuni</w:t>
      </w:r>
      <w:proofErr w:type="spellEnd"/>
      <w:r w:rsidR="00FE4ABD" w:rsidRPr="0094328C">
        <w:rPr>
          <w:rFonts w:eastAsia="Times New Roman"/>
          <w:lang w:val="ro-RO" w:eastAsia="ro-MD"/>
        </w:rPr>
        <w:t>:</w:t>
      </w:r>
      <w:r w:rsidR="00B032A8" w:rsidRPr="0094328C">
        <w:rPr>
          <w:rFonts w:eastAsia="Times New Roman"/>
          <w:i/>
          <w:iCs/>
          <w:lang w:val="ro-RO" w:eastAsia="ro-MD"/>
        </w:rPr>
        <w:t xml:space="preserve"> </w:t>
      </w:r>
    </w:p>
    <w:p w14:paraId="2994DB05" w14:textId="49B15646" w:rsidR="006A0459" w:rsidRPr="0094328C" w:rsidRDefault="00FE4ABD" w:rsidP="006A0459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 xml:space="preserve">asociații de economii și împrumut </w:t>
      </w:r>
      <w:r w:rsidR="006A0459" w:rsidRPr="0094328C">
        <w:rPr>
          <w:rFonts w:eastAsia="Times New Roman"/>
          <w:lang w:val="ro-RO" w:eastAsia="ro-MD"/>
        </w:rPr>
        <w:t xml:space="preserve">– </w:t>
      </w:r>
      <w:r w:rsidR="00B032A8" w:rsidRPr="0094328C">
        <w:rPr>
          <w:rFonts w:eastAsia="Times New Roman"/>
          <w:i/>
          <w:iCs/>
          <w:lang w:val="ro-RO" w:eastAsia="ro-MD"/>
        </w:rPr>
        <w:t xml:space="preserve">asociațiile de economii și împrumut și asociația națională centrală a </w:t>
      </w:r>
      <w:proofErr w:type="spellStart"/>
      <w:r w:rsidR="00B032A8" w:rsidRPr="0094328C">
        <w:rPr>
          <w:rFonts w:eastAsia="Times New Roman"/>
          <w:i/>
          <w:iCs/>
          <w:lang w:val="ro-RO" w:eastAsia="ro-MD"/>
        </w:rPr>
        <w:t>asociaţiilor</w:t>
      </w:r>
      <w:proofErr w:type="spellEnd"/>
      <w:r w:rsidR="00B032A8" w:rsidRPr="0094328C">
        <w:rPr>
          <w:rFonts w:eastAsia="Times New Roman"/>
          <w:i/>
          <w:iCs/>
          <w:lang w:val="ro-RO" w:eastAsia="ro-MD"/>
        </w:rPr>
        <w:t xml:space="preserve"> de economii și împrumut (în continuare - asociație centrală) </w:t>
      </w:r>
      <w:r w:rsidR="006A0459" w:rsidRPr="0094328C">
        <w:rPr>
          <w:rFonts w:eastAsia="Times New Roman"/>
          <w:lang w:val="ro-RO" w:eastAsia="ro-MD"/>
        </w:rPr>
        <w:t>precum sunt definite la art.3 din Legea asociațiilor de economii și împrumut nr.139/2007</w:t>
      </w:r>
      <w:r w:rsidR="00E37006">
        <w:rPr>
          <w:rFonts w:eastAsia="Times New Roman"/>
          <w:lang w:val="ro-RO" w:eastAsia="ro-MD"/>
        </w:rPr>
        <w:t>;</w:t>
      </w:r>
    </w:p>
    <w:p w14:paraId="1F71CF11" w14:textId="334788AF" w:rsidR="00FE4ABD" w:rsidRPr="0094328C" w:rsidRDefault="00FE4ABD" w:rsidP="006A0459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 xml:space="preserve">bănci </w:t>
      </w:r>
      <w:proofErr w:type="spellStart"/>
      <w:r w:rsidRPr="0094328C">
        <w:rPr>
          <w:rFonts w:eastAsia="Times New Roman"/>
          <w:i/>
          <w:iCs/>
          <w:lang w:val="ro-RO" w:eastAsia="ro-MD"/>
        </w:rPr>
        <w:t>licenţiate</w:t>
      </w:r>
      <w:proofErr w:type="spellEnd"/>
      <w:r w:rsidRPr="0094328C">
        <w:rPr>
          <w:rFonts w:eastAsia="Times New Roman"/>
          <w:i/>
          <w:iCs/>
          <w:lang w:val="ro-RO" w:eastAsia="ro-MD"/>
        </w:rPr>
        <w:t xml:space="preserve"> –</w:t>
      </w:r>
      <w:r w:rsidRPr="0094328C">
        <w:rPr>
          <w:rFonts w:eastAsia="Times New Roman"/>
          <w:lang w:val="ro-RO" w:eastAsia="ro-MD"/>
        </w:rPr>
        <w:t xml:space="preserve"> bănci, inclusiv sucursalele din străinătate ale acestora, precum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sucursalele băncilor din alte state, care </w:t>
      </w:r>
      <w:proofErr w:type="spellStart"/>
      <w:r w:rsidRPr="0094328C">
        <w:rPr>
          <w:rFonts w:eastAsia="Times New Roman"/>
          <w:lang w:val="ro-RO" w:eastAsia="ro-MD"/>
        </w:rPr>
        <w:t>deţin</w:t>
      </w:r>
      <w:proofErr w:type="spellEnd"/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licenţa</w:t>
      </w:r>
      <w:proofErr w:type="spellEnd"/>
      <w:r w:rsidRPr="0094328C">
        <w:rPr>
          <w:rFonts w:eastAsia="Times New Roman"/>
          <w:lang w:val="ro-RO" w:eastAsia="ro-MD"/>
        </w:rPr>
        <w:t xml:space="preserve"> BNM în conformitate cu prevederile Legii nr.202/2017 privind activitatea băncilor</w:t>
      </w:r>
      <w:r w:rsidR="00E37006">
        <w:rPr>
          <w:rFonts w:eastAsia="Times New Roman"/>
          <w:lang w:val="ro-RO" w:eastAsia="ro-MD"/>
        </w:rPr>
        <w:t>;</w:t>
      </w:r>
    </w:p>
    <w:p w14:paraId="28B0157A" w14:textId="5A535F77" w:rsidR="006A0459" w:rsidRPr="0094328C" w:rsidRDefault="006A0459" w:rsidP="006A0459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Biroul Național al Asigurătorilor de Autovehicule</w:t>
      </w:r>
      <w:r w:rsidR="00925FF8" w:rsidRPr="0094328C">
        <w:rPr>
          <w:rFonts w:eastAsia="Times New Roman"/>
          <w:i/>
          <w:iCs/>
          <w:lang w:val="ro-RO" w:eastAsia="ro-MD"/>
        </w:rPr>
        <w:t xml:space="preserve"> </w:t>
      </w:r>
      <w:bookmarkStart w:id="1" w:name="_Hlk150937545"/>
      <w:r w:rsidR="00925FF8" w:rsidRPr="0094328C">
        <w:rPr>
          <w:rFonts w:eastAsia="Times New Roman"/>
          <w:lang w:val="ro-RO" w:eastAsia="ro-MD"/>
        </w:rPr>
        <w:t>(în continuare - BNAA)</w:t>
      </w:r>
      <w:r w:rsidRPr="0094328C">
        <w:rPr>
          <w:rFonts w:eastAsia="Times New Roman"/>
          <w:lang w:val="ro-RO" w:eastAsia="ro-MD"/>
        </w:rPr>
        <w:t xml:space="preserve"> </w:t>
      </w:r>
      <w:bookmarkEnd w:id="1"/>
      <w:r w:rsidRPr="0094328C">
        <w:rPr>
          <w:rFonts w:eastAsia="Times New Roman"/>
          <w:lang w:val="ro-RO" w:eastAsia="ro-MD"/>
        </w:rPr>
        <w:t>–</w:t>
      </w:r>
      <w:r w:rsidRPr="0094328C">
        <w:rPr>
          <w:lang w:val="ro-RO"/>
        </w:rPr>
        <w:t xml:space="preserve"> </w:t>
      </w:r>
      <w:r w:rsidRPr="0094328C">
        <w:rPr>
          <w:rFonts w:eastAsia="Times New Roman"/>
          <w:lang w:val="ro-RO" w:eastAsia="ro-MD"/>
        </w:rPr>
        <w:t>precum este definit la art.3 din Legea nr.106/2022 privind asigurarea obligatorie de răspundere civilă auto pentru pagube produse de vehicule</w:t>
      </w:r>
      <w:r w:rsidR="00E37006">
        <w:rPr>
          <w:rFonts w:eastAsia="Times New Roman"/>
          <w:lang w:val="ro-RO" w:eastAsia="ro-MD"/>
        </w:rPr>
        <w:t>;</w:t>
      </w:r>
    </w:p>
    <w:p w14:paraId="0634C14A" w14:textId="4B82336B" w:rsidR="006A0459" w:rsidRPr="0094328C" w:rsidRDefault="006A0459" w:rsidP="006A0459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birouri a</w:t>
      </w:r>
      <w:r w:rsidR="00E37006">
        <w:rPr>
          <w:rFonts w:eastAsia="Times New Roman"/>
          <w:i/>
          <w:iCs/>
          <w:lang w:val="ro-RO" w:eastAsia="ro-MD"/>
        </w:rPr>
        <w:t>le</w:t>
      </w:r>
      <w:r w:rsidRPr="0094328C">
        <w:rPr>
          <w:rFonts w:eastAsia="Times New Roman"/>
          <w:i/>
          <w:iCs/>
          <w:lang w:val="ro-RO" w:eastAsia="ro-MD"/>
        </w:rPr>
        <w:t xml:space="preserve"> istoriilor de credit – </w:t>
      </w:r>
      <w:r w:rsidRPr="0094328C">
        <w:rPr>
          <w:rFonts w:eastAsia="Times New Roman"/>
          <w:lang w:val="ro-RO" w:eastAsia="ro-MD"/>
        </w:rPr>
        <w:t>precum sunt definite la art.2 din Legea nr.122/2008 privind birourile istoriilor de credit</w:t>
      </w:r>
      <w:r w:rsidR="00E37006">
        <w:rPr>
          <w:rFonts w:eastAsia="Times New Roman"/>
          <w:lang w:val="ro-RO" w:eastAsia="ro-MD"/>
        </w:rPr>
        <w:t>;</w:t>
      </w:r>
    </w:p>
    <w:p w14:paraId="5E0E5AB8" w14:textId="3466990A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componentă de transport a SAPI –</w:t>
      </w:r>
      <w:r w:rsidRPr="0094328C">
        <w:rPr>
          <w:rFonts w:eastAsia="Times New Roman"/>
          <w:lang w:val="ro-RO" w:eastAsia="ro-MD"/>
        </w:rPr>
        <w:t xml:space="preserve"> componentă a Sistemului automatizat de </w:t>
      </w:r>
      <w:proofErr w:type="spellStart"/>
      <w:r w:rsidRPr="0094328C">
        <w:rPr>
          <w:rFonts w:eastAsia="Times New Roman"/>
          <w:lang w:val="ro-RO" w:eastAsia="ro-MD"/>
        </w:rPr>
        <w:t>plăţi</w:t>
      </w:r>
      <w:proofErr w:type="spellEnd"/>
      <w:r w:rsidRPr="0094328C">
        <w:rPr>
          <w:rFonts w:eastAsia="Times New Roman"/>
          <w:lang w:val="ro-RO" w:eastAsia="ro-MD"/>
        </w:rPr>
        <w:t xml:space="preserve"> interbancare (în continuare – SAPI)</w:t>
      </w:r>
      <w:r w:rsidR="00E37006">
        <w:rPr>
          <w:rFonts w:eastAsia="Times New Roman"/>
          <w:lang w:val="ro-RO" w:eastAsia="ro-MD"/>
        </w:rPr>
        <w:t xml:space="preserve"> care</w:t>
      </w:r>
      <w:r w:rsidRPr="0094328C">
        <w:rPr>
          <w:rFonts w:eastAsia="Times New Roman"/>
          <w:lang w:val="ro-RO" w:eastAsia="ro-MD"/>
        </w:rPr>
        <w:t xml:space="preserve"> ce asigură schimbul de mesaje electronice între BNM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participanţii</w:t>
      </w:r>
      <w:proofErr w:type="spellEnd"/>
      <w:r w:rsidRPr="0094328C">
        <w:rPr>
          <w:rFonts w:eastAsia="Times New Roman"/>
          <w:lang w:val="ro-RO" w:eastAsia="ro-MD"/>
        </w:rPr>
        <w:t xml:space="preserve"> la SAPI</w:t>
      </w:r>
      <w:r w:rsidR="00E37006">
        <w:rPr>
          <w:rFonts w:eastAsia="Times New Roman"/>
          <w:lang w:val="ro-RO" w:eastAsia="ro-MD"/>
        </w:rPr>
        <w:t>;</w:t>
      </w:r>
    </w:p>
    <w:p w14:paraId="157758FE" w14:textId="5F09E99A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proofErr w:type="spellStart"/>
      <w:r w:rsidRPr="0094328C">
        <w:rPr>
          <w:rFonts w:eastAsia="Times New Roman"/>
          <w:i/>
          <w:iCs/>
          <w:lang w:val="ro-RO" w:eastAsia="ro-MD"/>
        </w:rPr>
        <w:t>entităţi</w:t>
      </w:r>
      <w:proofErr w:type="spellEnd"/>
      <w:r w:rsidRPr="0094328C">
        <w:rPr>
          <w:rFonts w:eastAsia="Times New Roman"/>
          <w:i/>
          <w:iCs/>
          <w:lang w:val="ro-RO" w:eastAsia="ro-MD"/>
        </w:rPr>
        <w:t xml:space="preserve"> raportoare</w:t>
      </w:r>
      <w:r w:rsidRPr="0094328C">
        <w:rPr>
          <w:rFonts w:eastAsia="Times New Roman"/>
          <w:lang w:val="ro-RO" w:eastAsia="ro-MD"/>
        </w:rPr>
        <w:t xml:space="preserve"> – asociațiile de economii și împrumut, băncile </w:t>
      </w:r>
      <w:proofErr w:type="spellStart"/>
      <w:r w:rsidRPr="0094328C">
        <w:rPr>
          <w:rFonts w:eastAsia="Times New Roman"/>
          <w:lang w:val="ro-RO" w:eastAsia="ro-MD"/>
        </w:rPr>
        <w:t>licenţiate</w:t>
      </w:r>
      <w:proofErr w:type="spellEnd"/>
      <w:r w:rsidRPr="0094328C">
        <w:rPr>
          <w:rFonts w:eastAsia="Times New Roman"/>
          <w:lang w:val="ro-RO" w:eastAsia="ro-MD"/>
        </w:rPr>
        <w:t xml:space="preserve">, birourile istoriilor de credit, </w:t>
      </w:r>
      <w:r w:rsidR="00402F2D" w:rsidRPr="0094328C">
        <w:rPr>
          <w:rFonts w:eastAsia="Times New Roman"/>
          <w:lang w:val="ro-RO" w:eastAsia="ro-MD"/>
        </w:rPr>
        <w:t xml:space="preserve">BNAA, </w:t>
      </w:r>
      <w:r w:rsidRPr="0094328C">
        <w:rPr>
          <w:lang w:val="ro-RO"/>
        </w:rPr>
        <w:t>i</w:t>
      </w:r>
      <w:r w:rsidRPr="005A38E8">
        <w:rPr>
          <w:lang w:val="ro-RO"/>
        </w:rPr>
        <w:t>ntermediarii în asigurări și/sau în reasigurări,</w:t>
      </w:r>
      <w:r w:rsidRPr="0094328C">
        <w:rPr>
          <w:rFonts w:eastAsia="Times New Roman"/>
          <w:lang w:val="ro-RO" w:eastAsia="ro-MD"/>
        </w:rPr>
        <w:t xml:space="preserve"> organizațiile de creditare nebancară,  prestatorii de servicii de plată nebancari, societățile de asigurare sau de reasigurare,  care au </w:t>
      </w:r>
      <w:proofErr w:type="spellStart"/>
      <w:r w:rsidRPr="0094328C">
        <w:rPr>
          <w:rFonts w:eastAsia="Times New Roman"/>
          <w:lang w:val="ro-RO" w:eastAsia="ro-MD"/>
        </w:rPr>
        <w:t>obligaţia</w:t>
      </w:r>
      <w:proofErr w:type="spellEnd"/>
      <w:r w:rsidRPr="0094328C">
        <w:rPr>
          <w:rFonts w:eastAsia="Times New Roman"/>
          <w:lang w:val="ro-RO" w:eastAsia="ro-MD"/>
        </w:rPr>
        <w:t xml:space="preserve"> de a raporta date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informaţii</w:t>
      </w:r>
      <w:proofErr w:type="spellEnd"/>
      <w:r w:rsidRPr="0094328C">
        <w:rPr>
          <w:rFonts w:eastAsia="Times New Roman"/>
          <w:lang w:val="ro-RO" w:eastAsia="ro-MD"/>
        </w:rPr>
        <w:t xml:space="preserve"> la BNM</w:t>
      </w:r>
      <w:r w:rsidR="00E37006">
        <w:rPr>
          <w:rFonts w:eastAsia="Times New Roman"/>
          <w:lang w:val="ro-RO" w:eastAsia="ro-MD"/>
        </w:rPr>
        <w:t>;</w:t>
      </w:r>
    </w:p>
    <w:p w14:paraId="48B58BA1" w14:textId="1A53920A" w:rsidR="008175CB" w:rsidRPr="0094328C" w:rsidRDefault="008175CB" w:rsidP="00FE4ABD">
      <w:pPr>
        <w:ind w:firstLine="567"/>
        <w:jc w:val="both"/>
        <w:rPr>
          <w:rFonts w:eastAsia="Times New Roman"/>
          <w:lang w:val="ro-RO" w:eastAsia="ro-MD"/>
        </w:rPr>
      </w:pPr>
      <w:bookmarkStart w:id="2" w:name="_Hlk147234426"/>
      <w:r w:rsidRPr="0094328C">
        <w:rPr>
          <w:rFonts w:eastAsia="Times New Roman"/>
          <w:i/>
          <w:iCs/>
          <w:lang w:val="ro-RO" w:eastAsia="ro-MD"/>
        </w:rPr>
        <w:t>intermediari în asigurări și/sau în reasigurări –</w:t>
      </w:r>
      <w:r w:rsidRPr="0094328C">
        <w:rPr>
          <w:rFonts w:eastAsia="Times New Roman"/>
          <w:lang w:val="ro-RO" w:eastAsia="ro-MD"/>
        </w:rPr>
        <w:t xml:space="preserve"> </w:t>
      </w:r>
      <w:r w:rsidR="004E1BA5" w:rsidRPr="0094328C">
        <w:rPr>
          <w:rFonts w:eastAsia="Times New Roman"/>
          <w:lang w:val="ro-RO" w:eastAsia="ro-MD"/>
        </w:rPr>
        <w:t>precum sunt definiți la art.4 din Legea nr.92/2002 privind activitatea de asigurare sau de reasigurare</w:t>
      </w:r>
      <w:r w:rsidR="00E37006">
        <w:rPr>
          <w:rFonts w:eastAsia="Times New Roman"/>
          <w:lang w:val="ro-RO" w:eastAsia="ro-MD"/>
        </w:rPr>
        <w:t>;</w:t>
      </w:r>
    </w:p>
    <w:bookmarkEnd w:id="2"/>
    <w:p w14:paraId="1E9DC5B8" w14:textId="6B2BFF7F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proofErr w:type="spellStart"/>
      <w:r w:rsidRPr="0094328C">
        <w:rPr>
          <w:rFonts w:eastAsia="Times New Roman"/>
          <w:i/>
          <w:iCs/>
          <w:lang w:val="ro-RO" w:eastAsia="ro-MD"/>
        </w:rPr>
        <w:t>instanţă</w:t>
      </w:r>
      <w:proofErr w:type="spellEnd"/>
      <w:r w:rsidRPr="0094328C">
        <w:rPr>
          <w:rFonts w:eastAsia="Times New Roman"/>
          <w:i/>
          <w:iCs/>
          <w:lang w:val="ro-RO" w:eastAsia="ro-MD"/>
        </w:rPr>
        <w:t xml:space="preserve"> –</w:t>
      </w:r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fişier</w:t>
      </w:r>
      <w:proofErr w:type="spellEnd"/>
      <w:r w:rsidRPr="0094328C">
        <w:rPr>
          <w:rFonts w:eastAsia="Times New Roman"/>
          <w:lang w:val="ro-RO" w:eastAsia="ro-MD"/>
        </w:rPr>
        <w:t xml:space="preserve"> în format XBRL, XML sau alt format, care </w:t>
      </w:r>
      <w:proofErr w:type="spellStart"/>
      <w:r w:rsidRPr="0094328C">
        <w:rPr>
          <w:rFonts w:eastAsia="Times New Roman"/>
          <w:lang w:val="ro-RO" w:eastAsia="ro-MD"/>
        </w:rPr>
        <w:t>conţine</w:t>
      </w:r>
      <w:proofErr w:type="spellEnd"/>
      <w:r w:rsidRPr="0094328C">
        <w:rPr>
          <w:rFonts w:eastAsia="Times New Roman"/>
          <w:lang w:val="ro-RO" w:eastAsia="ro-MD"/>
        </w:rPr>
        <w:t xml:space="preserve"> datele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informaţiile</w:t>
      </w:r>
      <w:proofErr w:type="spellEnd"/>
      <w:r w:rsidRPr="0094328C">
        <w:rPr>
          <w:rFonts w:eastAsia="Times New Roman"/>
          <w:lang w:val="ro-RO" w:eastAsia="ro-MD"/>
        </w:rPr>
        <w:t xml:space="preserve"> aferente unuia sau mai multor rapoarte, grupate în </w:t>
      </w:r>
      <w:proofErr w:type="spellStart"/>
      <w:r w:rsidRPr="0094328C">
        <w:rPr>
          <w:rFonts w:eastAsia="Times New Roman"/>
          <w:lang w:val="ro-RO" w:eastAsia="ro-MD"/>
        </w:rPr>
        <w:t>funcţie</w:t>
      </w:r>
      <w:proofErr w:type="spellEnd"/>
      <w:r w:rsidRPr="0094328C">
        <w:rPr>
          <w:rFonts w:eastAsia="Times New Roman"/>
          <w:lang w:val="ro-RO" w:eastAsia="ro-MD"/>
        </w:rPr>
        <w:t xml:space="preserve"> de tipologie, periodicitate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specificul datelor raportate</w:t>
      </w:r>
      <w:r w:rsidR="00E37006">
        <w:rPr>
          <w:rFonts w:eastAsia="Times New Roman"/>
          <w:lang w:val="ro-RO" w:eastAsia="ro-MD"/>
        </w:rPr>
        <w:t>;</w:t>
      </w:r>
    </w:p>
    <w:p w14:paraId="25B6D539" w14:textId="11F59A1C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lastRenderedPageBreak/>
        <w:t xml:space="preserve">mediu de </w:t>
      </w:r>
      <w:proofErr w:type="spellStart"/>
      <w:r w:rsidRPr="0094328C">
        <w:rPr>
          <w:rFonts w:eastAsia="Times New Roman"/>
          <w:i/>
          <w:iCs/>
          <w:lang w:val="ro-RO" w:eastAsia="ro-MD"/>
        </w:rPr>
        <w:t>producţie</w:t>
      </w:r>
      <w:proofErr w:type="spellEnd"/>
      <w:r w:rsidRPr="0094328C">
        <w:rPr>
          <w:rFonts w:eastAsia="Times New Roman"/>
          <w:i/>
          <w:iCs/>
          <w:lang w:val="ro-RO" w:eastAsia="ro-MD"/>
        </w:rPr>
        <w:t xml:space="preserve"> –</w:t>
      </w:r>
      <w:r w:rsidRPr="0094328C">
        <w:rPr>
          <w:rFonts w:eastAsia="Times New Roman"/>
          <w:lang w:val="ro-RO" w:eastAsia="ro-MD"/>
        </w:rPr>
        <w:t xml:space="preserve"> mediu SIRBNM utilizat în scopul </w:t>
      </w:r>
      <w:proofErr w:type="spellStart"/>
      <w:r w:rsidRPr="0094328C">
        <w:rPr>
          <w:rFonts w:eastAsia="Times New Roman"/>
          <w:lang w:val="ro-RO" w:eastAsia="ro-MD"/>
        </w:rPr>
        <w:t>recepţionării</w:t>
      </w:r>
      <w:proofErr w:type="spellEnd"/>
      <w:r w:rsidRPr="0094328C">
        <w:rPr>
          <w:rFonts w:eastAsia="Times New Roman"/>
          <w:lang w:val="ro-RO" w:eastAsia="ro-MD"/>
        </w:rPr>
        <w:t xml:space="preserve"> de la </w:t>
      </w:r>
      <w:proofErr w:type="spellStart"/>
      <w:r w:rsidRPr="0094328C">
        <w:rPr>
          <w:rFonts w:eastAsia="Times New Roman"/>
          <w:lang w:val="ro-RO" w:eastAsia="ro-MD"/>
        </w:rPr>
        <w:t>entităţile</w:t>
      </w:r>
      <w:proofErr w:type="spellEnd"/>
      <w:r w:rsidRPr="0094328C">
        <w:rPr>
          <w:rFonts w:eastAsia="Times New Roman"/>
          <w:lang w:val="ro-RO" w:eastAsia="ro-MD"/>
        </w:rPr>
        <w:t xml:space="preserve"> raportoare a rapoartelor prevăzute în actele normative ale BNM, indicate în anexa 1</w:t>
      </w:r>
      <w:r w:rsidR="00E37006">
        <w:rPr>
          <w:rFonts w:eastAsia="Times New Roman"/>
          <w:lang w:val="ro-RO" w:eastAsia="ro-MD"/>
        </w:rPr>
        <w:t>;</w:t>
      </w:r>
    </w:p>
    <w:p w14:paraId="721EBA14" w14:textId="1625D81A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mediu de test –</w:t>
      </w:r>
      <w:r w:rsidRPr="0094328C">
        <w:rPr>
          <w:rFonts w:eastAsia="Times New Roman"/>
          <w:lang w:val="ro-RO" w:eastAsia="ro-MD"/>
        </w:rPr>
        <w:t xml:space="preserve"> mediu SIRBNM utilizat de către utilizatorii SIRBNM (utilizatori ai </w:t>
      </w:r>
      <w:proofErr w:type="spellStart"/>
      <w:r w:rsidRPr="0094328C">
        <w:rPr>
          <w:rFonts w:eastAsia="Times New Roman"/>
          <w:lang w:val="ro-RO" w:eastAsia="ro-MD"/>
        </w:rPr>
        <w:t>entităţii</w:t>
      </w:r>
      <w:proofErr w:type="spellEnd"/>
      <w:r w:rsidRPr="0094328C">
        <w:rPr>
          <w:rFonts w:eastAsia="Times New Roman"/>
          <w:lang w:val="ro-RO" w:eastAsia="ro-MD"/>
        </w:rPr>
        <w:t xml:space="preserve"> raportoare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ai BNM) în scop de testare a implementării tehnice a rapoartelor prevăzute în actele normative ale BNM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care urmează a fi transmise la BNM prin intermediul mediului de </w:t>
      </w:r>
      <w:proofErr w:type="spellStart"/>
      <w:r w:rsidRPr="0094328C">
        <w:rPr>
          <w:rFonts w:eastAsia="Times New Roman"/>
          <w:lang w:val="ro-RO" w:eastAsia="ro-MD"/>
        </w:rPr>
        <w:t>producţie</w:t>
      </w:r>
      <w:proofErr w:type="spellEnd"/>
      <w:r w:rsidR="00E37006">
        <w:rPr>
          <w:rFonts w:eastAsia="Times New Roman"/>
          <w:lang w:val="ro-RO" w:eastAsia="ro-MD"/>
        </w:rPr>
        <w:t>;</w:t>
      </w:r>
    </w:p>
    <w:p w14:paraId="1FD59152" w14:textId="44E00C33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modul de transport</w:t>
      </w:r>
      <w:r w:rsidR="00964181" w:rsidRPr="0094328C">
        <w:rPr>
          <w:rFonts w:eastAsia="Times New Roman"/>
          <w:i/>
          <w:iCs/>
          <w:lang w:val="ro-RO" w:eastAsia="ro-MD"/>
        </w:rPr>
        <w:t xml:space="preserve"> </w:t>
      </w:r>
      <w:r w:rsidRPr="0094328C">
        <w:rPr>
          <w:rFonts w:eastAsia="Times New Roman"/>
          <w:i/>
          <w:iCs/>
          <w:lang w:val="ro-RO" w:eastAsia="ro-MD"/>
        </w:rPr>
        <w:t>SIRBNM</w:t>
      </w:r>
      <w:r w:rsidR="00272ABC" w:rsidRPr="0094328C">
        <w:rPr>
          <w:rFonts w:eastAsia="Times New Roman"/>
          <w:i/>
          <w:iCs/>
          <w:lang w:val="ro-RO" w:eastAsia="ro-MD"/>
        </w:rPr>
        <w:t xml:space="preserve"> </w:t>
      </w:r>
      <w:bookmarkStart w:id="3" w:name="_Hlk147234504"/>
      <w:r w:rsidR="00272ABC" w:rsidRPr="0094328C">
        <w:rPr>
          <w:rFonts w:eastAsia="Times New Roman"/>
          <w:i/>
          <w:iCs/>
          <w:lang w:val="ro-RO" w:eastAsia="ro-MD"/>
        </w:rPr>
        <w:t>(MT SIRBNM)</w:t>
      </w:r>
      <w:r w:rsidRPr="0094328C">
        <w:rPr>
          <w:rFonts w:eastAsia="Times New Roman"/>
          <w:lang w:val="ro-RO" w:eastAsia="ro-MD"/>
        </w:rPr>
        <w:t xml:space="preserve"> </w:t>
      </w:r>
      <w:bookmarkEnd w:id="3"/>
      <w:r w:rsidRPr="0094328C">
        <w:rPr>
          <w:rFonts w:eastAsia="Times New Roman"/>
          <w:lang w:val="ro-RO" w:eastAsia="ro-MD"/>
        </w:rPr>
        <w:t xml:space="preserve">– componentă a SIRBNM, care reprezintă un complex de mijloace tehnice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/sau de program destinate asigurării schimbului de mesaje electronice între BNM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entităţile</w:t>
      </w:r>
      <w:proofErr w:type="spellEnd"/>
      <w:r w:rsidRPr="0094328C">
        <w:rPr>
          <w:rFonts w:eastAsia="Times New Roman"/>
          <w:lang w:val="ro-RO" w:eastAsia="ro-MD"/>
        </w:rPr>
        <w:t xml:space="preserve"> raportoare, prin intermediul căruia se realizează transmiterea rapoartelor electronice la BNM</w:t>
      </w:r>
      <w:r w:rsidR="00E37006">
        <w:rPr>
          <w:rFonts w:eastAsia="Times New Roman"/>
          <w:lang w:val="ro-RO" w:eastAsia="ro-MD"/>
        </w:rPr>
        <w:t>;</w:t>
      </w:r>
    </w:p>
    <w:p w14:paraId="2C41FB22" w14:textId="6240E78D" w:rsidR="00FE4ABD" w:rsidRPr="0094328C" w:rsidRDefault="00FE4ABD" w:rsidP="007A61FF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 xml:space="preserve">normele tehnice </w:t>
      </w:r>
      <w:r w:rsidR="005142C5">
        <w:rPr>
          <w:rFonts w:eastAsia="Times New Roman"/>
          <w:i/>
          <w:iCs/>
          <w:lang w:val="ro-RO" w:eastAsia="ro-MD"/>
        </w:rPr>
        <w:t xml:space="preserve">privind modul </w:t>
      </w:r>
      <w:r w:rsidRPr="0094328C">
        <w:rPr>
          <w:rFonts w:eastAsia="Times New Roman"/>
          <w:i/>
          <w:iCs/>
          <w:lang w:val="ro-RO" w:eastAsia="ro-MD"/>
        </w:rPr>
        <w:t>de prezentare a rapoartelor electronice</w:t>
      </w:r>
      <w:r w:rsidRPr="0094328C">
        <w:rPr>
          <w:rFonts w:eastAsia="Times New Roman"/>
          <w:lang w:val="ro-RO" w:eastAsia="ro-MD"/>
        </w:rPr>
        <w:t xml:space="preserve"> </w:t>
      </w:r>
      <w:r w:rsidRPr="0094328C">
        <w:rPr>
          <w:rFonts w:eastAsia="Times New Roman"/>
          <w:i/>
          <w:iCs/>
          <w:lang w:val="ro-RO" w:eastAsia="ro-MD"/>
        </w:rPr>
        <w:t>la BNM</w:t>
      </w:r>
      <w:r w:rsidRPr="0094328C">
        <w:rPr>
          <w:rFonts w:eastAsia="Times New Roman"/>
          <w:lang w:val="ro-RO" w:eastAsia="ro-MD"/>
        </w:rPr>
        <w:t xml:space="preserve"> </w:t>
      </w:r>
      <w:r w:rsidR="005142C5">
        <w:rPr>
          <w:rFonts w:eastAsia="Times New Roman"/>
          <w:lang w:val="ro-RO" w:eastAsia="ro-MD"/>
        </w:rPr>
        <w:t xml:space="preserve">prin intermediul SIRBNM </w:t>
      </w:r>
      <w:r w:rsidRPr="0094328C">
        <w:rPr>
          <w:rFonts w:eastAsia="Times New Roman"/>
          <w:lang w:val="ro-RO" w:eastAsia="ro-MD"/>
        </w:rPr>
        <w:t xml:space="preserve">– set de reguli privind structura, formatul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modul de prezentare a rapoartelor electronice la BNM (în continuare Norme tehnice)</w:t>
      </w:r>
      <w:r w:rsidR="00E37006">
        <w:rPr>
          <w:rFonts w:eastAsia="Times New Roman"/>
          <w:lang w:val="ro-RO" w:eastAsia="ro-MD"/>
        </w:rPr>
        <w:t>;</w:t>
      </w:r>
      <w:r w:rsidR="007A61FF" w:rsidRPr="0094328C" w:rsidDel="007A61FF">
        <w:rPr>
          <w:rFonts w:eastAsia="Times New Roman"/>
          <w:lang w:val="ro-RO" w:eastAsia="ro-MD"/>
        </w:rPr>
        <w:t xml:space="preserve"> </w:t>
      </w:r>
    </w:p>
    <w:p w14:paraId="7A4C12A7" w14:textId="6F00030E" w:rsidR="00FE4ABD" w:rsidRPr="0094328C" w:rsidRDefault="00FE4ABD" w:rsidP="004E1BA5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organizații de creditare nebancară</w:t>
      </w:r>
      <w:r w:rsidRPr="0094328C">
        <w:rPr>
          <w:rFonts w:eastAsia="Times New Roman"/>
          <w:lang w:val="ro-RO" w:eastAsia="ro-MD"/>
        </w:rPr>
        <w:t xml:space="preserve"> - </w:t>
      </w:r>
      <w:r w:rsidR="004E1BA5" w:rsidRPr="0094328C">
        <w:rPr>
          <w:rFonts w:eastAsia="Times New Roman"/>
          <w:lang w:val="ro-RO" w:eastAsia="ro-MD"/>
        </w:rPr>
        <w:t>precum sunt definite la art.3 din Legea nr.1/2018 cu privire la organizațiile de creditare nebancară</w:t>
      </w:r>
      <w:r w:rsidR="00E37006">
        <w:rPr>
          <w:rFonts w:eastAsia="Times New Roman"/>
          <w:lang w:val="ro-RO" w:eastAsia="ro-MD"/>
        </w:rPr>
        <w:t>;</w:t>
      </w:r>
    </w:p>
    <w:p w14:paraId="53747F90" w14:textId="48795854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persoană autorizată</w:t>
      </w:r>
      <w:r w:rsidRPr="0094328C">
        <w:rPr>
          <w:rFonts w:eastAsia="Times New Roman"/>
          <w:lang w:val="ro-RO" w:eastAsia="ro-MD"/>
        </w:rPr>
        <w:t xml:space="preserve"> – persoană fizică, căreia îi este delegat de către entitatea raportoare dreptul de a vizualiza, crea/modifica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>/sau semna/ transmite prin intermediul SIRBNM rapoarte electronice la BNM. Dreptul de a semna/transmite rapoarte la BNM poate fi exercitat doar de către persoana autorizată, care este titular al certificatului cheii publice</w:t>
      </w:r>
      <w:r w:rsidR="00E37006">
        <w:rPr>
          <w:rFonts w:eastAsia="Times New Roman"/>
          <w:lang w:val="ro-RO" w:eastAsia="ro-MD"/>
        </w:rPr>
        <w:t>;</w:t>
      </w:r>
    </w:p>
    <w:p w14:paraId="374E8A8F" w14:textId="723E6F52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prestatori de servicii de plată nebancari –</w:t>
      </w:r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societăţile</w:t>
      </w:r>
      <w:proofErr w:type="spellEnd"/>
      <w:r w:rsidRPr="0094328C">
        <w:rPr>
          <w:rFonts w:eastAsia="Times New Roman"/>
          <w:lang w:val="ro-RO" w:eastAsia="ro-MD"/>
        </w:rPr>
        <w:t xml:space="preserve"> de plată, furnizorii de servicii </w:t>
      </w:r>
      <w:proofErr w:type="spellStart"/>
      <w:r w:rsidRPr="0094328C">
        <w:rPr>
          <w:rFonts w:eastAsia="Times New Roman"/>
          <w:lang w:val="ro-RO" w:eastAsia="ro-MD"/>
        </w:rPr>
        <w:t>poştale</w:t>
      </w:r>
      <w:proofErr w:type="spellEnd"/>
      <w:r w:rsidRPr="0094328C">
        <w:rPr>
          <w:rFonts w:eastAsia="Times New Roman"/>
          <w:lang w:val="ro-RO" w:eastAsia="ro-MD"/>
        </w:rPr>
        <w:t xml:space="preserve"> în calitate de prestatori de servicii de plată, </w:t>
      </w:r>
      <w:proofErr w:type="spellStart"/>
      <w:r w:rsidRPr="0094328C">
        <w:rPr>
          <w:rFonts w:eastAsia="Times New Roman"/>
          <w:lang w:val="ro-RO" w:eastAsia="ro-MD"/>
        </w:rPr>
        <w:t>societăţile</w:t>
      </w:r>
      <w:proofErr w:type="spellEnd"/>
      <w:r w:rsidRPr="0094328C">
        <w:rPr>
          <w:rFonts w:eastAsia="Times New Roman"/>
          <w:lang w:val="ro-RO" w:eastAsia="ro-MD"/>
        </w:rPr>
        <w:t xml:space="preserve"> emitente de monedă electronică definite la art.5 alin.(1) </w:t>
      </w:r>
      <w:proofErr w:type="spellStart"/>
      <w:r w:rsidRPr="0094328C">
        <w:rPr>
          <w:rFonts w:eastAsia="Times New Roman"/>
          <w:lang w:val="ro-RO" w:eastAsia="ro-MD"/>
        </w:rPr>
        <w:t>lit.b</w:t>
      </w:r>
      <w:proofErr w:type="spellEnd"/>
      <w:r w:rsidRPr="0094328C">
        <w:rPr>
          <w:rFonts w:eastAsia="Times New Roman"/>
          <w:lang w:val="ro-RO" w:eastAsia="ro-MD"/>
        </w:rPr>
        <w:t xml:space="preserve">)-d) din Legea nr.114/2012 cu privire la serviciile de plată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moneda electronică</w:t>
      </w:r>
      <w:r w:rsidR="00E37006">
        <w:rPr>
          <w:rFonts w:eastAsia="Times New Roman"/>
          <w:lang w:val="ro-RO" w:eastAsia="ro-MD"/>
        </w:rPr>
        <w:t>;</w:t>
      </w:r>
    </w:p>
    <w:p w14:paraId="5B266238" w14:textId="604190B4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portal SIRBNM –</w:t>
      </w:r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aplicaţie</w:t>
      </w:r>
      <w:proofErr w:type="spellEnd"/>
      <w:r w:rsidRPr="0094328C">
        <w:rPr>
          <w:rFonts w:eastAsia="Times New Roman"/>
          <w:lang w:val="ro-RO" w:eastAsia="ro-MD"/>
        </w:rPr>
        <w:t xml:space="preserve"> WEB, parte componentă a SIRBNM, ce asigură, prin intermediul unui </w:t>
      </w:r>
      <w:proofErr w:type="spellStart"/>
      <w:r w:rsidRPr="0094328C">
        <w:rPr>
          <w:rFonts w:eastAsia="Times New Roman"/>
          <w:lang w:val="ro-RO" w:eastAsia="ro-MD"/>
        </w:rPr>
        <w:t>şir</w:t>
      </w:r>
      <w:proofErr w:type="spellEnd"/>
      <w:r w:rsidRPr="0094328C">
        <w:rPr>
          <w:rFonts w:eastAsia="Times New Roman"/>
          <w:lang w:val="ro-RO" w:eastAsia="ro-MD"/>
        </w:rPr>
        <w:t xml:space="preserve"> de măsuri tehnice, posibilitatea creării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transmiterii la BNM a rapoartelor electronice</w:t>
      </w:r>
      <w:r w:rsidR="000C0B98" w:rsidRPr="0094328C">
        <w:rPr>
          <w:rFonts w:eastAsia="Times New Roman"/>
          <w:lang w:val="ro-RO" w:eastAsia="ro-MD"/>
        </w:rPr>
        <w:t xml:space="preserve"> în format XBRL</w:t>
      </w:r>
      <w:r w:rsidR="00E37006">
        <w:rPr>
          <w:rFonts w:eastAsia="Times New Roman"/>
          <w:lang w:val="ro-RO" w:eastAsia="ro-MD"/>
        </w:rPr>
        <w:t>;</w:t>
      </w:r>
    </w:p>
    <w:p w14:paraId="6A92E91D" w14:textId="4E59233B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 xml:space="preserve">portal </w:t>
      </w:r>
      <w:r w:rsidR="000C0B98" w:rsidRPr="0094328C">
        <w:rPr>
          <w:rFonts w:eastAsia="Times New Roman"/>
          <w:i/>
          <w:iCs/>
          <w:lang w:val="ro-RO" w:eastAsia="ro-MD"/>
        </w:rPr>
        <w:t xml:space="preserve">SIA </w:t>
      </w:r>
      <w:r w:rsidRPr="0094328C">
        <w:rPr>
          <w:rFonts w:eastAsia="Times New Roman"/>
          <w:i/>
          <w:iCs/>
          <w:lang w:val="ro-RO" w:eastAsia="ro-MD"/>
        </w:rPr>
        <w:t>SIREM -</w:t>
      </w:r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aplicaţie</w:t>
      </w:r>
      <w:proofErr w:type="spellEnd"/>
      <w:r w:rsidRPr="0094328C">
        <w:rPr>
          <w:rFonts w:eastAsia="Times New Roman"/>
          <w:lang w:val="ro-RO" w:eastAsia="ro-MD"/>
        </w:rPr>
        <w:t xml:space="preserve"> WEB, parte componentă a SIRBNM, ce asigură, prin intermediul unui </w:t>
      </w:r>
      <w:proofErr w:type="spellStart"/>
      <w:r w:rsidRPr="0094328C">
        <w:rPr>
          <w:rFonts w:eastAsia="Times New Roman"/>
          <w:lang w:val="ro-RO" w:eastAsia="ro-MD"/>
        </w:rPr>
        <w:t>şir</w:t>
      </w:r>
      <w:proofErr w:type="spellEnd"/>
      <w:r w:rsidRPr="0094328C">
        <w:rPr>
          <w:rFonts w:eastAsia="Times New Roman"/>
          <w:lang w:val="ro-RO" w:eastAsia="ro-MD"/>
        </w:rPr>
        <w:t xml:space="preserve"> de măsuri tehnice, posibilitatea creării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transmiterii la BNM a rapoartelor electronice</w:t>
      </w:r>
      <w:r w:rsidR="00E37006">
        <w:rPr>
          <w:rFonts w:eastAsia="Times New Roman"/>
          <w:lang w:val="ro-RO" w:eastAsia="ro-MD"/>
        </w:rPr>
        <w:t>;</w:t>
      </w:r>
    </w:p>
    <w:p w14:paraId="2105F785" w14:textId="4CA9601B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raport electronic</w:t>
      </w:r>
      <w:r w:rsidRPr="0094328C">
        <w:rPr>
          <w:rFonts w:eastAsia="Times New Roman"/>
          <w:lang w:val="ro-RO" w:eastAsia="ro-MD"/>
        </w:rPr>
        <w:t xml:space="preserve"> – </w:t>
      </w:r>
      <w:proofErr w:type="spellStart"/>
      <w:r w:rsidRPr="0094328C">
        <w:rPr>
          <w:rFonts w:eastAsia="Times New Roman"/>
          <w:lang w:val="ro-RO" w:eastAsia="ro-MD"/>
        </w:rPr>
        <w:t>informaţie</w:t>
      </w:r>
      <w:proofErr w:type="spellEnd"/>
      <w:r w:rsidRPr="0094328C">
        <w:rPr>
          <w:rFonts w:eastAsia="Times New Roman"/>
          <w:lang w:val="ro-RO" w:eastAsia="ro-MD"/>
        </w:rPr>
        <w:t xml:space="preserve"> în formă electronică, creată, prelucrată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perfectată de către entitatea raportoare conform prevederilor actelor normative ale BNM, cu respectarea Normelor tehnice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însoţită</w:t>
      </w:r>
      <w:proofErr w:type="spellEnd"/>
      <w:r w:rsidRPr="0094328C">
        <w:rPr>
          <w:rFonts w:eastAsia="Times New Roman"/>
          <w:lang w:val="ro-RO" w:eastAsia="ro-MD"/>
        </w:rPr>
        <w:t xml:space="preserve"> de semnătura electronică calificată aplicată în conformitate cu prevederile </w:t>
      </w:r>
      <w:proofErr w:type="spellStart"/>
      <w:r w:rsidRPr="0094328C">
        <w:rPr>
          <w:rFonts w:eastAsia="Times New Roman"/>
          <w:lang w:val="ro-RO" w:eastAsia="ro-MD"/>
        </w:rPr>
        <w:t>legislaţiei</w:t>
      </w:r>
      <w:proofErr w:type="spellEnd"/>
      <w:r w:rsidR="00E37006">
        <w:rPr>
          <w:rFonts w:eastAsia="Times New Roman"/>
          <w:lang w:val="ro-RO" w:eastAsia="ro-MD"/>
        </w:rPr>
        <w:t>;</w:t>
      </w:r>
    </w:p>
    <w:p w14:paraId="7CF57810" w14:textId="18D8C533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i/>
          <w:iCs/>
          <w:lang w:val="ro-RO" w:eastAsia="ro-MD"/>
        </w:rPr>
        <w:t>SIRBNM –</w:t>
      </w:r>
      <w:r w:rsidRPr="0094328C">
        <w:rPr>
          <w:rFonts w:eastAsia="Times New Roman"/>
          <w:lang w:val="ro-RO" w:eastAsia="ro-MD"/>
        </w:rPr>
        <w:t xml:space="preserve"> </w:t>
      </w:r>
      <w:r w:rsidR="00402F2D" w:rsidRPr="0094328C">
        <w:rPr>
          <w:rFonts w:eastAsia="Times New Roman"/>
          <w:lang w:val="ro-RO" w:eastAsia="ro-MD"/>
        </w:rPr>
        <w:t xml:space="preserve">Sisteme </w:t>
      </w:r>
      <w:r w:rsidRPr="0094328C">
        <w:rPr>
          <w:rFonts w:eastAsia="Times New Roman"/>
          <w:lang w:val="ro-RO" w:eastAsia="ro-MD"/>
        </w:rPr>
        <w:t>informatic</w:t>
      </w:r>
      <w:r w:rsidR="00402F2D" w:rsidRPr="0094328C">
        <w:rPr>
          <w:rFonts w:eastAsia="Times New Roman"/>
          <w:lang w:val="ro-RO" w:eastAsia="ro-MD"/>
        </w:rPr>
        <w:t>e</w:t>
      </w:r>
      <w:r w:rsidRPr="0094328C">
        <w:rPr>
          <w:rFonts w:eastAsia="Times New Roman"/>
          <w:lang w:val="ro-RO" w:eastAsia="ro-MD"/>
        </w:rPr>
        <w:t xml:space="preserve"> de raportări către Banca </w:t>
      </w:r>
      <w:proofErr w:type="spellStart"/>
      <w:r w:rsidRPr="0094328C">
        <w:rPr>
          <w:rFonts w:eastAsia="Times New Roman"/>
          <w:lang w:val="ro-RO" w:eastAsia="ro-MD"/>
        </w:rPr>
        <w:t>Naţională</w:t>
      </w:r>
      <w:proofErr w:type="spellEnd"/>
      <w:r w:rsidRPr="0094328C">
        <w:rPr>
          <w:rFonts w:eastAsia="Times New Roman"/>
          <w:lang w:val="ro-RO" w:eastAsia="ro-MD"/>
        </w:rPr>
        <w:t xml:space="preserve"> a Moldovei – sistem informatic complex prin care BNM colectează de la </w:t>
      </w:r>
      <w:proofErr w:type="spellStart"/>
      <w:r w:rsidRPr="0094328C">
        <w:rPr>
          <w:rFonts w:eastAsia="Times New Roman"/>
          <w:lang w:val="ro-RO" w:eastAsia="ro-MD"/>
        </w:rPr>
        <w:t>entităţile</w:t>
      </w:r>
      <w:proofErr w:type="spellEnd"/>
      <w:r w:rsidRPr="0094328C">
        <w:rPr>
          <w:rFonts w:eastAsia="Times New Roman"/>
          <w:lang w:val="ro-RO" w:eastAsia="ro-MD"/>
        </w:rPr>
        <w:t xml:space="preserve"> raportoare indicatorii primari, în scopul prelucrării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diseminării datelor, potrivit </w:t>
      </w:r>
      <w:proofErr w:type="spellStart"/>
      <w:r w:rsidRPr="0094328C">
        <w:rPr>
          <w:rFonts w:eastAsia="Times New Roman"/>
          <w:lang w:val="ro-RO" w:eastAsia="ro-MD"/>
        </w:rPr>
        <w:t>atribuţiilor</w:t>
      </w:r>
      <w:proofErr w:type="spellEnd"/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</w:t>
      </w:r>
      <w:proofErr w:type="spellStart"/>
      <w:r w:rsidRPr="0094328C">
        <w:rPr>
          <w:rFonts w:eastAsia="Times New Roman"/>
          <w:lang w:val="ro-RO" w:eastAsia="ro-MD"/>
        </w:rPr>
        <w:t>competenţelor</w:t>
      </w:r>
      <w:proofErr w:type="spellEnd"/>
      <w:r w:rsidRPr="0094328C">
        <w:rPr>
          <w:rFonts w:eastAsia="Times New Roman"/>
          <w:lang w:val="ro-RO" w:eastAsia="ro-MD"/>
        </w:rPr>
        <w:t xml:space="preserve"> sale. Acesta include portalul SIRBNM, portalul SIA SIREM, </w:t>
      </w:r>
      <w:r w:rsidR="004E1BA5" w:rsidRPr="0094328C">
        <w:rPr>
          <w:rFonts w:eastAsia="Times New Roman"/>
          <w:lang w:val="ro-RO" w:eastAsia="ro-MD"/>
        </w:rPr>
        <w:t>MT</w:t>
      </w:r>
      <w:r w:rsidRPr="0094328C">
        <w:rPr>
          <w:rFonts w:eastAsia="Times New Roman"/>
          <w:lang w:val="ro-RO" w:eastAsia="ro-MD"/>
        </w:rPr>
        <w:t xml:space="preserve"> SIRBNM </w:t>
      </w:r>
      <w:proofErr w:type="spellStart"/>
      <w:r w:rsidRPr="0094328C">
        <w:rPr>
          <w:rFonts w:eastAsia="Times New Roman"/>
          <w:lang w:val="ro-RO" w:eastAsia="ro-MD"/>
        </w:rPr>
        <w:t>şi</w:t>
      </w:r>
      <w:proofErr w:type="spellEnd"/>
      <w:r w:rsidRPr="0094328C">
        <w:rPr>
          <w:rFonts w:eastAsia="Times New Roman"/>
          <w:lang w:val="ro-RO" w:eastAsia="ro-MD"/>
        </w:rPr>
        <w:t xml:space="preserve"> componenta de transport a SAPI, doar în partea ce </w:t>
      </w:r>
      <w:proofErr w:type="spellStart"/>
      <w:r w:rsidRPr="0094328C">
        <w:rPr>
          <w:rFonts w:eastAsia="Times New Roman"/>
          <w:lang w:val="ro-RO" w:eastAsia="ro-MD"/>
        </w:rPr>
        <w:t>ţine</w:t>
      </w:r>
      <w:proofErr w:type="spellEnd"/>
      <w:r w:rsidRPr="0094328C">
        <w:rPr>
          <w:rFonts w:eastAsia="Times New Roman"/>
          <w:lang w:val="ro-RO" w:eastAsia="ro-MD"/>
        </w:rPr>
        <w:t xml:space="preserve"> de prezentarea rapoartelor electronice </w:t>
      </w:r>
      <w:proofErr w:type="spellStart"/>
      <w:r w:rsidRPr="0094328C">
        <w:rPr>
          <w:rFonts w:eastAsia="Times New Roman"/>
          <w:lang w:val="ro-RO" w:eastAsia="ro-MD"/>
        </w:rPr>
        <w:t>menţionate</w:t>
      </w:r>
      <w:proofErr w:type="spellEnd"/>
      <w:r w:rsidRPr="0094328C">
        <w:rPr>
          <w:rFonts w:eastAsia="Times New Roman"/>
          <w:lang w:val="ro-RO" w:eastAsia="ro-MD"/>
        </w:rPr>
        <w:t xml:space="preserve"> în tabelul 2 din anexa nr.1</w:t>
      </w:r>
      <w:r w:rsidR="00E37006">
        <w:rPr>
          <w:rFonts w:eastAsia="Times New Roman"/>
          <w:lang w:val="ro-RO" w:eastAsia="ro-MD"/>
        </w:rPr>
        <w:t>;</w:t>
      </w:r>
    </w:p>
    <w:p w14:paraId="6ED96E74" w14:textId="44C1D95D" w:rsidR="004E1BA5" w:rsidRPr="0094328C" w:rsidRDefault="00056620" w:rsidP="004E1BA5">
      <w:pPr>
        <w:spacing w:after="160" w:line="259" w:lineRule="auto"/>
        <w:ind w:left="1" w:firstLine="566"/>
        <w:jc w:val="both"/>
        <w:rPr>
          <w:rFonts w:eastAsia="Times New Roman"/>
          <w:lang w:val="ro-RO" w:eastAsia="ro-MD"/>
        </w:rPr>
      </w:pPr>
      <w:bookmarkStart w:id="4" w:name="_Hlk140236124"/>
      <w:r w:rsidRPr="0094328C">
        <w:rPr>
          <w:rFonts w:eastAsia="Times New Roman"/>
          <w:i/>
          <w:iCs/>
          <w:lang w:val="ro-RO" w:eastAsia="ro-MD"/>
        </w:rPr>
        <w:t>societăți de asigurare (</w:t>
      </w:r>
      <w:r w:rsidR="005D12D0" w:rsidRPr="0094328C">
        <w:rPr>
          <w:rFonts w:eastAsia="Times New Roman"/>
          <w:i/>
          <w:iCs/>
          <w:lang w:val="ro-RO" w:eastAsia="ro-MD"/>
        </w:rPr>
        <w:t xml:space="preserve">în continuare - </w:t>
      </w:r>
      <w:r w:rsidRPr="0094328C">
        <w:rPr>
          <w:rFonts w:eastAsia="Times New Roman"/>
          <w:i/>
          <w:iCs/>
          <w:lang w:val="ro-RO" w:eastAsia="ro-MD"/>
        </w:rPr>
        <w:t>asigurători) sau de reasigurare (</w:t>
      </w:r>
      <w:r w:rsidR="005D12D0" w:rsidRPr="0094328C">
        <w:rPr>
          <w:rFonts w:eastAsia="Times New Roman"/>
          <w:i/>
          <w:iCs/>
          <w:lang w:val="ro-RO" w:eastAsia="ro-MD"/>
        </w:rPr>
        <w:t>în continuare -</w:t>
      </w:r>
      <w:proofErr w:type="spellStart"/>
      <w:r w:rsidRPr="0094328C">
        <w:rPr>
          <w:rFonts w:eastAsia="Times New Roman"/>
          <w:i/>
          <w:iCs/>
          <w:lang w:val="ro-RO" w:eastAsia="ro-MD"/>
        </w:rPr>
        <w:t>reasigurători</w:t>
      </w:r>
      <w:proofErr w:type="spellEnd"/>
      <w:r w:rsidRPr="0094328C">
        <w:rPr>
          <w:rFonts w:eastAsia="Times New Roman"/>
          <w:i/>
          <w:iCs/>
          <w:lang w:val="ro-RO" w:eastAsia="ro-MD"/>
        </w:rPr>
        <w:t>)</w:t>
      </w:r>
      <w:r w:rsidRPr="0094328C">
        <w:rPr>
          <w:rFonts w:eastAsia="Times New Roman"/>
          <w:lang w:val="ro-RO" w:eastAsia="ro-MD"/>
        </w:rPr>
        <w:t xml:space="preserve"> – </w:t>
      </w:r>
      <w:r w:rsidR="004E1BA5" w:rsidRPr="0094328C">
        <w:rPr>
          <w:rFonts w:eastAsia="Times New Roman"/>
          <w:lang w:val="ro-RO" w:eastAsia="ro-MD"/>
        </w:rPr>
        <w:t>așa cum sunt definite la art.4 din Legea nr.92/2002 privind activitatea de asigurare sau de reasigurare.</w:t>
      </w:r>
    </w:p>
    <w:bookmarkEnd w:id="4"/>
    <w:p w14:paraId="168FD79D" w14:textId="6F2E0C92" w:rsidR="00FE4ABD" w:rsidRPr="0094328C" w:rsidRDefault="00FE4ABD" w:rsidP="00FE4ABD">
      <w:pPr>
        <w:ind w:firstLine="567"/>
        <w:jc w:val="both"/>
        <w:rPr>
          <w:rFonts w:eastAsia="Times New Roman"/>
          <w:lang w:val="ro-RO" w:eastAsia="ro-MD"/>
        </w:rPr>
      </w:pPr>
      <w:r w:rsidRPr="0094328C">
        <w:rPr>
          <w:rFonts w:eastAsia="Times New Roman"/>
          <w:lang w:val="ro-RO" w:eastAsia="ro-MD"/>
        </w:rPr>
        <w:t xml:space="preserve">Noțiunile </w:t>
      </w:r>
      <w:r w:rsidR="00EE201F" w:rsidRPr="0094328C">
        <w:rPr>
          <w:rFonts w:eastAsia="Times New Roman"/>
          <w:lang w:val="ro-RO" w:eastAsia="ro-MD"/>
        </w:rPr>
        <w:t>„</w:t>
      </w:r>
      <w:r w:rsidRPr="0094328C">
        <w:rPr>
          <w:rFonts w:eastAsia="Times New Roman"/>
          <w:lang w:val="ro-RO" w:eastAsia="ro-MD"/>
        </w:rPr>
        <w:t>cheie privată</w:t>
      </w:r>
      <w:r w:rsidR="00EE201F" w:rsidRPr="0094328C">
        <w:rPr>
          <w:rFonts w:eastAsia="Times New Roman"/>
          <w:lang w:val="ro-RO" w:eastAsia="ro-MD"/>
        </w:rPr>
        <w:t>”</w:t>
      </w:r>
      <w:r w:rsidRPr="0094328C">
        <w:rPr>
          <w:rFonts w:eastAsia="Times New Roman"/>
          <w:lang w:val="ro-RO" w:eastAsia="ro-MD"/>
        </w:rPr>
        <w:t xml:space="preserve">, </w:t>
      </w:r>
      <w:r w:rsidR="00EE201F" w:rsidRPr="0094328C">
        <w:rPr>
          <w:rFonts w:eastAsia="Times New Roman"/>
          <w:lang w:val="ro-RO" w:eastAsia="ro-MD"/>
        </w:rPr>
        <w:t>„</w:t>
      </w:r>
      <w:r w:rsidRPr="0094328C">
        <w:rPr>
          <w:rFonts w:eastAsia="Times New Roman"/>
          <w:lang w:val="ro-RO" w:eastAsia="ro-MD"/>
        </w:rPr>
        <w:t>cheie publică</w:t>
      </w:r>
      <w:r w:rsidR="00EE201F" w:rsidRPr="0094328C">
        <w:rPr>
          <w:rFonts w:eastAsia="Times New Roman"/>
          <w:lang w:val="ro-RO" w:eastAsia="ro-MD"/>
        </w:rPr>
        <w:t>”</w:t>
      </w:r>
      <w:r w:rsidRPr="0094328C">
        <w:rPr>
          <w:rFonts w:eastAsia="Times New Roman"/>
          <w:lang w:val="ro-RO" w:eastAsia="ro-MD"/>
        </w:rPr>
        <w:t xml:space="preserve">, </w:t>
      </w:r>
      <w:r w:rsidR="00EE201F" w:rsidRPr="0094328C">
        <w:rPr>
          <w:rFonts w:eastAsia="Times New Roman"/>
          <w:lang w:val="ro-RO" w:eastAsia="ro-MD"/>
        </w:rPr>
        <w:t>„</w:t>
      </w:r>
      <w:r w:rsidRPr="0094328C">
        <w:rPr>
          <w:rFonts w:eastAsia="Times New Roman"/>
          <w:lang w:val="ro-RO" w:eastAsia="ro-MD"/>
        </w:rPr>
        <w:t>certificat</w:t>
      </w:r>
      <w:r w:rsidR="00EE336F" w:rsidRPr="0094328C">
        <w:rPr>
          <w:rFonts w:eastAsia="Times New Roman"/>
          <w:lang w:val="ro-RO" w:eastAsia="ro-MD"/>
        </w:rPr>
        <w:t xml:space="preserve"> calificat al</w:t>
      </w:r>
      <w:r w:rsidRPr="0094328C">
        <w:rPr>
          <w:rFonts w:eastAsia="Times New Roman"/>
          <w:lang w:val="ro-RO" w:eastAsia="ro-MD"/>
        </w:rPr>
        <w:t xml:space="preserve"> cheii publice</w:t>
      </w:r>
      <w:r w:rsidR="00EE201F" w:rsidRPr="0094328C">
        <w:rPr>
          <w:rFonts w:eastAsia="Times New Roman"/>
          <w:lang w:val="ro-RO" w:eastAsia="ro-MD"/>
        </w:rPr>
        <w:t>”</w:t>
      </w:r>
      <w:r w:rsidRPr="0094328C">
        <w:rPr>
          <w:rFonts w:eastAsia="Times New Roman"/>
          <w:lang w:val="ro-RO" w:eastAsia="ro-MD"/>
        </w:rPr>
        <w:t xml:space="preserve">, </w:t>
      </w:r>
      <w:r w:rsidR="00EE201F" w:rsidRPr="0094328C">
        <w:rPr>
          <w:rFonts w:eastAsia="Times New Roman"/>
          <w:lang w:val="ro-RO" w:eastAsia="ro-MD"/>
        </w:rPr>
        <w:t>„</w:t>
      </w:r>
      <w:r w:rsidRPr="0094328C">
        <w:rPr>
          <w:rFonts w:eastAsia="Times New Roman"/>
          <w:lang w:val="ro-RO" w:eastAsia="ro-MD"/>
        </w:rPr>
        <w:t>document electronic</w:t>
      </w:r>
      <w:r w:rsidR="00EE201F" w:rsidRPr="0094328C">
        <w:rPr>
          <w:rFonts w:eastAsia="Times New Roman"/>
          <w:lang w:val="ro-RO" w:eastAsia="ro-MD"/>
        </w:rPr>
        <w:t>”</w:t>
      </w:r>
      <w:r w:rsidRPr="0094328C">
        <w:rPr>
          <w:rFonts w:eastAsia="Times New Roman"/>
          <w:lang w:val="ro-RO" w:eastAsia="ro-MD"/>
        </w:rPr>
        <w:t xml:space="preserve">, </w:t>
      </w:r>
      <w:r w:rsidR="00EE201F" w:rsidRPr="0094328C">
        <w:rPr>
          <w:rFonts w:eastAsia="Times New Roman"/>
          <w:lang w:val="ro-RO" w:eastAsia="ro-MD"/>
        </w:rPr>
        <w:t>„</w:t>
      </w:r>
      <w:r w:rsidRPr="0094328C">
        <w:rPr>
          <w:rFonts w:eastAsia="Times New Roman"/>
          <w:lang w:val="ro-RO" w:eastAsia="ro-MD"/>
        </w:rPr>
        <w:t>dispozitiv de creare a semnături</w:t>
      </w:r>
      <w:r w:rsidR="00BA4E83" w:rsidRPr="0094328C">
        <w:rPr>
          <w:rFonts w:eastAsia="Times New Roman"/>
          <w:lang w:val="ro-RO" w:eastAsia="ro-MD"/>
        </w:rPr>
        <w:t>lor electronice sau a sigiliilor</w:t>
      </w:r>
      <w:r w:rsidRPr="0094328C">
        <w:rPr>
          <w:rFonts w:eastAsia="Times New Roman"/>
          <w:lang w:val="ro-RO" w:eastAsia="ro-MD"/>
        </w:rPr>
        <w:t xml:space="preserve"> electronice</w:t>
      </w:r>
      <w:r w:rsidR="00EE201F" w:rsidRPr="0094328C">
        <w:rPr>
          <w:rFonts w:eastAsia="Times New Roman"/>
          <w:lang w:val="ro-RO" w:eastAsia="ro-MD"/>
        </w:rPr>
        <w:t>”</w:t>
      </w:r>
      <w:r w:rsidRPr="0094328C">
        <w:rPr>
          <w:rFonts w:eastAsia="Times New Roman"/>
          <w:lang w:val="ro-RO" w:eastAsia="ro-MD"/>
        </w:rPr>
        <w:t xml:space="preserve">, </w:t>
      </w:r>
      <w:r w:rsidR="00EE201F" w:rsidRPr="0094328C">
        <w:rPr>
          <w:rFonts w:eastAsia="Times New Roman"/>
          <w:lang w:val="ro-RO" w:eastAsia="ro-MD"/>
        </w:rPr>
        <w:t>„</w:t>
      </w:r>
      <w:r w:rsidRPr="0094328C">
        <w:rPr>
          <w:rFonts w:eastAsia="Times New Roman"/>
          <w:lang w:val="ro-RO" w:eastAsia="ro-MD"/>
        </w:rPr>
        <w:t>semnătură electronică</w:t>
      </w:r>
      <w:r w:rsidR="00EE201F" w:rsidRPr="0094328C">
        <w:rPr>
          <w:rFonts w:eastAsia="Times New Roman"/>
          <w:lang w:val="ro-RO" w:eastAsia="ro-MD"/>
        </w:rPr>
        <w:t>”, „</w:t>
      </w:r>
      <w:r w:rsidRPr="0094328C">
        <w:rPr>
          <w:rFonts w:eastAsia="Times New Roman"/>
          <w:lang w:val="ro-RO" w:eastAsia="ro-MD"/>
        </w:rPr>
        <w:t xml:space="preserve">prestator de servicii de </w:t>
      </w:r>
      <w:r w:rsidR="00BA4E83" w:rsidRPr="0094328C">
        <w:rPr>
          <w:rFonts w:eastAsia="Times New Roman"/>
          <w:lang w:val="ro-RO" w:eastAsia="ro-MD"/>
        </w:rPr>
        <w:t>încredere</w:t>
      </w:r>
      <w:r w:rsidR="00EE201F" w:rsidRPr="0094328C">
        <w:rPr>
          <w:rFonts w:eastAsia="Times New Roman"/>
          <w:lang w:val="ro-RO" w:eastAsia="ro-MD"/>
        </w:rPr>
        <w:t>”</w:t>
      </w:r>
      <w:r w:rsidRPr="0094328C">
        <w:rPr>
          <w:rFonts w:eastAsia="Times New Roman"/>
          <w:lang w:val="ro-RO" w:eastAsia="ro-MD"/>
        </w:rPr>
        <w:t xml:space="preserve"> se utilizează în sensul </w:t>
      </w:r>
      <w:proofErr w:type="spellStart"/>
      <w:r w:rsidRPr="0094328C">
        <w:rPr>
          <w:rFonts w:eastAsia="Times New Roman"/>
          <w:lang w:val="ro-RO" w:eastAsia="ro-MD"/>
        </w:rPr>
        <w:t>noţiunilor</w:t>
      </w:r>
      <w:proofErr w:type="spellEnd"/>
      <w:r w:rsidRPr="0094328C">
        <w:rPr>
          <w:rFonts w:eastAsia="Times New Roman"/>
          <w:lang w:val="ro-RO" w:eastAsia="ro-MD"/>
        </w:rPr>
        <w:t xml:space="preserve"> definite în Legea nr.124/2022 privind identificarea electronică și serviciile de încredere (Monitorul Oficial al Republicii Moldova, 2022, nr.170-176, art.317).</w:t>
      </w:r>
      <w:r w:rsidR="00B712FD" w:rsidRPr="0094328C">
        <w:rPr>
          <w:rFonts w:eastAsia="Times New Roman"/>
          <w:lang w:val="ro-RO" w:eastAsia="ro-MD"/>
        </w:rPr>
        <w:t>”</w:t>
      </w:r>
      <w:r w:rsidR="002E4D7B" w:rsidRPr="0094328C">
        <w:rPr>
          <w:rFonts w:eastAsia="Times New Roman"/>
          <w:lang w:val="ro-RO" w:eastAsia="ro-MD"/>
        </w:rPr>
        <w:t>;</w:t>
      </w:r>
    </w:p>
    <w:p w14:paraId="5DD05187" w14:textId="4F1203C0" w:rsidR="00542C8F" w:rsidRPr="002010A1" w:rsidRDefault="007D6E91" w:rsidP="004B60DF">
      <w:pPr>
        <w:spacing w:before="120" w:after="120" w:line="276" w:lineRule="auto"/>
        <w:ind w:left="567"/>
        <w:jc w:val="both"/>
        <w:rPr>
          <w:lang w:val="ro-RO" w:eastAsia="ro-MD"/>
        </w:rPr>
      </w:pPr>
      <w:r>
        <w:rPr>
          <w:lang w:val="ro-RO"/>
        </w:rPr>
        <w:t>1.2.2</w:t>
      </w:r>
      <w:r w:rsidR="002010A1">
        <w:rPr>
          <w:lang w:val="ro-RO"/>
        </w:rPr>
        <w:t xml:space="preserve"> </w:t>
      </w:r>
      <w:r w:rsidR="007020B6" w:rsidRPr="002010A1">
        <w:rPr>
          <w:lang w:val="ro-RO"/>
        </w:rPr>
        <w:t>la</w:t>
      </w:r>
      <w:r w:rsidR="00A02A86" w:rsidRPr="002010A1">
        <w:rPr>
          <w:lang w:val="ro-RO"/>
        </w:rPr>
        <w:t xml:space="preserve"> pct.7</w:t>
      </w:r>
      <w:r w:rsidR="00980D63" w:rsidRPr="002010A1">
        <w:rPr>
          <w:lang w:val="ro-RO"/>
        </w:rPr>
        <w:t>,</w:t>
      </w:r>
      <w:r w:rsidR="00980D63" w:rsidRPr="002010A1">
        <w:rPr>
          <w:lang w:val="ro-RO" w:eastAsia="ro-MD"/>
        </w:rPr>
        <w:t xml:space="preserve"> </w:t>
      </w:r>
      <w:proofErr w:type="spellStart"/>
      <w:r w:rsidR="00A02A86" w:rsidRPr="002010A1">
        <w:rPr>
          <w:lang w:val="ro-RO" w:eastAsia="ro-MD"/>
        </w:rPr>
        <w:t>subpct</w:t>
      </w:r>
      <w:proofErr w:type="spellEnd"/>
      <w:r w:rsidR="00A02A86" w:rsidRPr="002010A1">
        <w:rPr>
          <w:lang w:val="ro-RO" w:eastAsia="ro-MD"/>
        </w:rPr>
        <w:t xml:space="preserve">. </w:t>
      </w:r>
      <w:r w:rsidR="00A27C30" w:rsidRPr="002010A1">
        <w:rPr>
          <w:lang w:val="ro-RO" w:eastAsia="ro-MD"/>
        </w:rPr>
        <w:t>1</w:t>
      </w:r>
      <w:r w:rsidR="00A02A86" w:rsidRPr="002010A1">
        <w:rPr>
          <w:lang w:val="ro-RO" w:eastAsia="ro-MD"/>
        </w:rPr>
        <w:t>)</w:t>
      </w:r>
      <w:r w:rsidR="000B4080" w:rsidRPr="002010A1">
        <w:rPr>
          <w:lang w:val="ro-RO" w:eastAsia="ro-MD"/>
        </w:rPr>
        <w:t xml:space="preserve"> </w:t>
      </w:r>
      <w:r w:rsidR="00A27C30" w:rsidRPr="002010A1">
        <w:rPr>
          <w:lang w:val="ro-RO" w:eastAsia="ro-MD"/>
        </w:rPr>
        <w:t>-</w:t>
      </w:r>
      <w:r w:rsidR="000B4080" w:rsidRPr="002010A1">
        <w:rPr>
          <w:lang w:val="ro-RO" w:eastAsia="ro-MD"/>
        </w:rPr>
        <w:t xml:space="preserve"> 3) </w:t>
      </w:r>
      <w:r w:rsidR="00A02A86" w:rsidRPr="002010A1">
        <w:rPr>
          <w:lang w:val="ro-RO" w:eastAsia="ro-MD"/>
        </w:rPr>
        <w:t>v</w:t>
      </w:r>
      <w:r w:rsidR="000B4080" w:rsidRPr="002010A1">
        <w:rPr>
          <w:lang w:val="ro-RO" w:eastAsia="ro-MD"/>
        </w:rPr>
        <w:t>or</w:t>
      </w:r>
      <w:r w:rsidR="00A02A86" w:rsidRPr="002010A1">
        <w:rPr>
          <w:lang w:val="ro-RO" w:eastAsia="ro-MD"/>
        </w:rPr>
        <w:t xml:space="preserve"> avea următorul cuprins:</w:t>
      </w:r>
    </w:p>
    <w:p w14:paraId="30AEA805" w14:textId="6910D886" w:rsidR="00A27C30" w:rsidRPr="00337F4A" w:rsidRDefault="00A27C30" w:rsidP="00A02A86">
      <w:pPr>
        <w:pStyle w:val="CommentText"/>
        <w:ind w:firstLine="567"/>
        <w:jc w:val="both"/>
        <w:rPr>
          <w:rFonts w:eastAsia="Times New Roman"/>
          <w:sz w:val="24"/>
          <w:szCs w:val="24"/>
          <w:lang w:val="ro-RO" w:eastAsia="ro-MD"/>
        </w:rPr>
      </w:pPr>
      <w:r w:rsidRPr="00337F4A">
        <w:rPr>
          <w:rFonts w:eastAsia="Times New Roman"/>
          <w:sz w:val="24"/>
          <w:szCs w:val="24"/>
          <w:lang w:val="ro-RO" w:eastAsia="ro-MD"/>
        </w:rPr>
        <w:t xml:space="preserve">„1) entitatea raportoare prezintă la BNM, cererea privind înregistrarea persoanei autorizate în calitate de utilizator al SIRBNM </w:t>
      </w:r>
      <w:bookmarkStart w:id="5" w:name="_Hlk147235494"/>
      <w:r w:rsidRPr="00337F4A">
        <w:rPr>
          <w:rFonts w:eastAsia="Times New Roman"/>
          <w:sz w:val="24"/>
          <w:szCs w:val="24"/>
          <w:lang w:val="ro-RO" w:eastAsia="ro-MD"/>
        </w:rPr>
        <w:t>(în continuare – cerere</w:t>
      </w:r>
      <w:r w:rsidR="007020B6" w:rsidRPr="00337F4A">
        <w:rPr>
          <w:rFonts w:eastAsia="Times New Roman"/>
          <w:sz w:val="24"/>
          <w:szCs w:val="24"/>
          <w:lang w:val="ro-RO" w:eastAsia="ro-MD"/>
        </w:rPr>
        <w:t>a</w:t>
      </w:r>
      <w:r w:rsidRPr="00337F4A">
        <w:rPr>
          <w:rFonts w:eastAsia="Times New Roman"/>
          <w:sz w:val="24"/>
          <w:szCs w:val="24"/>
          <w:lang w:val="ro-RO" w:eastAsia="ro-MD"/>
        </w:rPr>
        <w:t xml:space="preserve"> de înregistrare), </w:t>
      </w:r>
      <w:bookmarkEnd w:id="5"/>
      <w:r w:rsidRPr="00337F4A">
        <w:rPr>
          <w:rFonts w:eastAsia="Times New Roman"/>
          <w:sz w:val="24"/>
          <w:szCs w:val="24"/>
          <w:lang w:val="ro-RO" w:eastAsia="ro-MD"/>
        </w:rPr>
        <w:t>conform formularului tipizat prezentat în anexa nr.2</w:t>
      </w:r>
      <w:r w:rsidR="009421B2" w:rsidRPr="00337F4A">
        <w:rPr>
          <w:rFonts w:eastAsia="Times New Roman"/>
          <w:sz w:val="24"/>
          <w:szCs w:val="24"/>
          <w:lang w:val="ro-RO" w:eastAsia="ro-MD"/>
        </w:rPr>
        <w:t>.</w:t>
      </w:r>
    </w:p>
    <w:p w14:paraId="3DDA45BD" w14:textId="6B685903" w:rsidR="000B4080" w:rsidRPr="00337F4A" w:rsidRDefault="00542C8F" w:rsidP="00A02A86">
      <w:pPr>
        <w:pStyle w:val="CommentText"/>
        <w:ind w:firstLine="567"/>
        <w:jc w:val="both"/>
        <w:rPr>
          <w:rFonts w:eastAsia="Times New Roman"/>
          <w:sz w:val="24"/>
          <w:szCs w:val="24"/>
          <w:lang w:val="ro-RO" w:eastAsia="ro-MD"/>
        </w:rPr>
      </w:pPr>
      <w:bookmarkStart w:id="6" w:name="_Hlk147235549"/>
      <w:r w:rsidRPr="00337F4A">
        <w:rPr>
          <w:rFonts w:eastAsia="Times New Roman"/>
          <w:sz w:val="24"/>
          <w:szCs w:val="24"/>
          <w:lang w:val="ro-RO" w:eastAsia="ro-MD"/>
        </w:rPr>
        <w:t xml:space="preserve">2) </w:t>
      </w:r>
      <w:r w:rsidR="00A27C30" w:rsidRPr="00337F4A">
        <w:rPr>
          <w:rFonts w:eastAsia="Times New Roman"/>
          <w:sz w:val="24"/>
          <w:szCs w:val="24"/>
          <w:lang w:val="ro-RO" w:eastAsia="ro-MD"/>
        </w:rPr>
        <w:t>BNM</w:t>
      </w:r>
      <w:r w:rsidR="00D422D8" w:rsidRPr="00337F4A">
        <w:rPr>
          <w:rFonts w:eastAsia="Times New Roman"/>
          <w:sz w:val="24"/>
          <w:szCs w:val="24"/>
          <w:lang w:val="ro-RO" w:eastAsia="ro-MD"/>
        </w:rPr>
        <w:t xml:space="preserve"> </w:t>
      </w:r>
      <w:r w:rsidR="00D76EDC" w:rsidRPr="00337F4A">
        <w:rPr>
          <w:rFonts w:eastAsia="Times New Roman"/>
          <w:sz w:val="24"/>
          <w:szCs w:val="24"/>
          <w:lang w:val="ro-RO" w:eastAsia="ro-MD"/>
        </w:rPr>
        <w:t>în termen de cel mult 10 zile lucrătoare</w:t>
      </w:r>
      <w:r w:rsidR="00D422D8" w:rsidRPr="00337F4A">
        <w:rPr>
          <w:rFonts w:eastAsia="Times New Roman"/>
          <w:sz w:val="24"/>
          <w:szCs w:val="24"/>
          <w:lang w:val="ro-RO" w:eastAsia="ro-MD"/>
        </w:rPr>
        <w:t xml:space="preserve"> din data înregistrării cererii la BNM</w:t>
      </w:r>
      <w:r w:rsidR="00270FF6" w:rsidRPr="00337F4A">
        <w:rPr>
          <w:rFonts w:eastAsia="Times New Roman"/>
          <w:sz w:val="24"/>
          <w:szCs w:val="24"/>
          <w:lang w:val="ro-RO" w:eastAsia="ro-MD"/>
        </w:rPr>
        <w:t>:</w:t>
      </w:r>
    </w:p>
    <w:p w14:paraId="25FFA001" w14:textId="45879D1B" w:rsidR="00270FF6" w:rsidRPr="00337F4A" w:rsidRDefault="00270FF6" w:rsidP="00A02A86">
      <w:pPr>
        <w:pStyle w:val="CommentText"/>
        <w:ind w:firstLine="567"/>
        <w:jc w:val="both"/>
        <w:rPr>
          <w:rFonts w:eastAsia="Times New Roman"/>
          <w:sz w:val="24"/>
          <w:szCs w:val="24"/>
          <w:lang w:val="ro-RO" w:eastAsia="ro-MD"/>
        </w:rPr>
      </w:pPr>
      <w:r w:rsidRPr="00337F4A">
        <w:rPr>
          <w:rFonts w:eastAsia="Times New Roman"/>
          <w:sz w:val="24"/>
          <w:szCs w:val="24"/>
          <w:lang w:val="ro-RO" w:eastAsia="ro-MD"/>
        </w:rPr>
        <w:lastRenderedPageBreak/>
        <w:t xml:space="preserve">a) </w:t>
      </w:r>
      <w:r w:rsidR="00D76EDC" w:rsidRPr="00337F4A">
        <w:rPr>
          <w:rFonts w:eastAsia="Times New Roman"/>
          <w:sz w:val="24"/>
          <w:szCs w:val="24"/>
          <w:lang w:val="ro-RO" w:eastAsia="ro-MD"/>
        </w:rPr>
        <w:t>confirmă</w:t>
      </w:r>
      <w:r w:rsidR="007020B6" w:rsidRPr="00337F4A">
        <w:rPr>
          <w:rFonts w:eastAsia="Times New Roman"/>
          <w:sz w:val="24"/>
          <w:szCs w:val="24"/>
          <w:lang w:val="ro-RO" w:eastAsia="ro-MD"/>
        </w:rPr>
        <w:t xml:space="preserve"> </w:t>
      </w:r>
      <w:r w:rsidR="00D76EDC" w:rsidRPr="00337F4A">
        <w:rPr>
          <w:rFonts w:eastAsia="Times New Roman"/>
          <w:sz w:val="24"/>
          <w:szCs w:val="24"/>
          <w:lang w:val="ro-RO" w:eastAsia="ro-MD"/>
        </w:rPr>
        <w:t>înregistrarea persoanei autorizate în calitate de utilizator al SIRBNM</w:t>
      </w:r>
      <w:r w:rsidR="007020B6" w:rsidRPr="00337F4A">
        <w:rPr>
          <w:rFonts w:eastAsia="Times New Roman"/>
          <w:sz w:val="24"/>
          <w:szCs w:val="24"/>
          <w:lang w:val="ro-RO" w:eastAsia="ro-MD"/>
        </w:rPr>
        <w:t>, printr-o sc</w:t>
      </w:r>
      <w:r w:rsidR="00163A29" w:rsidRPr="00337F4A">
        <w:rPr>
          <w:rFonts w:eastAsia="Times New Roman"/>
          <w:sz w:val="24"/>
          <w:szCs w:val="24"/>
          <w:lang w:val="ro-RO" w:eastAsia="ro-MD"/>
        </w:rPr>
        <w:t>r</w:t>
      </w:r>
      <w:r w:rsidR="007020B6" w:rsidRPr="00337F4A">
        <w:rPr>
          <w:rFonts w:eastAsia="Times New Roman"/>
          <w:sz w:val="24"/>
          <w:szCs w:val="24"/>
          <w:lang w:val="ro-RO" w:eastAsia="ro-MD"/>
        </w:rPr>
        <w:t>isoare transmisă în adresa entității raportoare</w:t>
      </w:r>
      <w:r w:rsidR="006C35E0" w:rsidRPr="00337F4A">
        <w:rPr>
          <w:rFonts w:eastAsia="Times New Roman"/>
          <w:sz w:val="24"/>
          <w:szCs w:val="24"/>
          <w:lang w:val="ro-RO" w:eastAsia="ro-MD"/>
        </w:rPr>
        <w:t>;</w:t>
      </w:r>
    </w:p>
    <w:p w14:paraId="05ACFFAF" w14:textId="1222836F" w:rsidR="006C35E0" w:rsidRPr="00337F4A" w:rsidRDefault="00D422D8" w:rsidP="00A02A86">
      <w:pPr>
        <w:pStyle w:val="CommentText"/>
        <w:ind w:firstLine="567"/>
        <w:jc w:val="both"/>
        <w:rPr>
          <w:rFonts w:eastAsia="Times New Roman"/>
          <w:sz w:val="24"/>
          <w:szCs w:val="24"/>
          <w:lang w:val="ro-RO" w:eastAsia="ro-MD"/>
        </w:rPr>
      </w:pPr>
      <w:r w:rsidRPr="00337F4A">
        <w:rPr>
          <w:rFonts w:eastAsia="Times New Roman"/>
          <w:sz w:val="24"/>
          <w:szCs w:val="24"/>
          <w:lang w:val="ro-RO" w:eastAsia="ro-MD"/>
        </w:rPr>
        <w:t>b) transmite informații privind modul de accesare a SIRBNM</w:t>
      </w:r>
      <w:r w:rsidR="007020B6" w:rsidRPr="00337F4A">
        <w:rPr>
          <w:rFonts w:eastAsia="Times New Roman"/>
          <w:sz w:val="24"/>
          <w:szCs w:val="24"/>
          <w:lang w:val="ro-RO" w:eastAsia="ro-MD"/>
        </w:rPr>
        <w:t>, pe adresa electronică a utilizatorului SIRBNM, indicată în cererea de înregistrare</w:t>
      </w:r>
      <w:r w:rsidR="00980D63" w:rsidRPr="00337F4A">
        <w:rPr>
          <w:rFonts w:eastAsia="Times New Roman"/>
          <w:sz w:val="24"/>
          <w:szCs w:val="24"/>
          <w:lang w:val="ro-RO" w:eastAsia="ro-MD"/>
        </w:rPr>
        <w:t>;</w:t>
      </w:r>
    </w:p>
    <w:p w14:paraId="3A9878F9" w14:textId="7E2B9B34" w:rsidR="00163A29" w:rsidRPr="00337F4A" w:rsidRDefault="004C7F78" w:rsidP="004C7F78">
      <w:pPr>
        <w:pStyle w:val="CommentText"/>
        <w:ind w:firstLine="567"/>
        <w:jc w:val="both"/>
        <w:rPr>
          <w:rFonts w:eastAsia="Times New Roman"/>
          <w:sz w:val="24"/>
          <w:szCs w:val="24"/>
          <w:lang w:val="ro-RO" w:eastAsia="ro-MD"/>
        </w:rPr>
      </w:pPr>
      <w:r w:rsidRPr="00337F4A">
        <w:rPr>
          <w:rFonts w:eastAsia="Times New Roman"/>
          <w:sz w:val="24"/>
          <w:szCs w:val="24"/>
          <w:lang w:val="ro-RO" w:eastAsia="ro-MD"/>
        </w:rPr>
        <w:t>c</w:t>
      </w:r>
      <w:r w:rsidR="000D0F04" w:rsidRPr="00337F4A">
        <w:rPr>
          <w:rFonts w:eastAsia="Times New Roman"/>
          <w:sz w:val="24"/>
          <w:szCs w:val="24"/>
          <w:lang w:val="ro-RO" w:eastAsia="ro-MD"/>
        </w:rPr>
        <w:t xml:space="preserve">) </w:t>
      </w:r>
      <w:bookmarkStart w:id="7" w:name="_Hlk152061712"/>
      <w:r w:rsidR="001C7492" w:rsidRPr="00337F4A">
        <w:rPr>
          <w:rFonts w:eastAsia="Times New Roman"/>
          <w:sz w:val="24"/>
          <w:szCs w:val="24"/>
          <w:lang w:val="ro-RO" w:eastAsia="ro-MD"/>
        </w:rPr>
        <w:t>informează despre</w:t>
      </w:r>
      <w:r w:rsidR="003513AA" w:rsidRPr="00337F4A">
        <w:rPr>
          <w:rFonts w:eastAsia="Times New Roman"/>
          <w:sz w:val="24"/>
          <w:szCs w:val="24"/>
          <w:lang w:val="ro-RO" w:eastAsia="ro-MD"/>
        </w:rPr>
        <w:t xml:space="preserve"> </w:t>
      </w:r>
      <w:r w:rsidR="001C7492" w:rsidRPr="00337F4A">
        <w:rPr>
          <w:rFonts w:eastAsia="Times New Roman"/>
          <w:sz w:val="24"/>
          <w:szCs w:val="24"/>
          <w:lang w:val="ro-RO" w:eastAsia="ro-MD"/>
        </w:rPr>
        <w:t>refuzul înregistrării utilizatorului nou în SIRBNM, printr-o sc</w:t>
      </w:r>
      <w:r w:rsidR="00163A29" w:rsidRPr="00337F4A">
        <w:rPr>
          <w:rFonts w:eastAsia="Times New Roman"/>
          <w:sz w:val="24"/>
          <w:szCs w:val="24"/>
          <w:lang w:val="ro-RO" w:eastAsia="ro-MD"/>
        </w:rPr>
        <w:t>r</w:t>
      </w:r>
      <w:r w:rsidR="001C7492" w:rsidRPr="00337F4A">
        <w:rPr>
          <w:rFonts w:eastAsia="Times New Roman"/>
          <w:sz w:val="24"/>
          <w:szCs w:val="24"/>
          <w:lang w:val="ro-RO" w:eastAsia="ro-MD"/>
        </w:rPr>
        <w:t>isoare transmisă în adresa entității raportoare</w:t>
      </w:r>
      <w:r w:rsidRPr="00337F4A">
        <w:rPr>
          <w:rFonts w:eastAsia="Times New Roman"/>
          <w:sz w:val="24"/>
          <w:szCs w:val="24"/>
          <w:lang w:val="ro-RO" w:eastAsia="ro-MD"/>
        </w:rPr>
        <w:t xml:space="preserve"> cu indicarea motivului refuzului (de ex. cerere incompletă, lipsă semnături)</w:t>
      </w:r>
      <w:r w:rsidR="009421B2" w:rsidRPr="00337F4A">
        <w:rPr>
          <w:rFonts w:eastAsia="Times New Roman"/>
          <w:sz w:val="24"/>
          <w:szCs w:val="24"/>
          <w:lang w:val="ro-RO" w:eastAsia="ro-MD"/>
        </w:rPr>
        <w:t>.</w:t>
      </w:r>
    </w:p>
    <w:p w14:paraId="69F4BF4F" w14:textId="17D443B0" w:rsidR="00163A29" w:rsidRPr="00337F4A" w:rsidRDefault="004C7F78" w:rsidP="00163A29">
      <w:pPr>
        <w:pStyle w:val="CommentText"/>
        <w:ind w:firstLine="567"/>
        <w:jc w:val="both"/>
        <w:rPr>
          <w:rFonts w:eastAsia="Times New Roman"/>
          <w:sz w:val="24"/>
          <w:szCs w:val="24"/>
          <w:lang w:val="ro-RO" w:eastAsia="ro-MD"/>
        </w:rPr>
      </w:pPr>
      <w:bookmarkStart w:id="8" w:name="_Hlk147235660"/>
      <w:bookmarkEnd w:id="6"/>
      <w:bookmarkEnd w:id="7"/>
      <w:r w:rsidRPr="00337F4A">
        <w:rPr>
          <w:rFonts w:eastAsia="Times New Roman"/>
          <w:sz w:val="24"/>
          <w:szCs w:val="24"/>
          <w:lang w:val="ro-RO" w:eastAsia="ro-MD"/>
        </w:rPr>
        <w:t>3</w:t>
      </w:r>
      <w:r w:rsidR="00163A29" w:rsidRPr="00337F4A">
        <w:rPr>
          <w:rFonts w:eastAsia="Times New Roman"/>
          <w:sz w:val="24"/>
          <w:szCs w:val="24"/>
          <w:lang w:val="ro-RO" w:eastAsia="ro-MD"/>
        </w:rPr>
        <w:t>) refuzul BNM de a înregistra utilizatorul nou în SIRBNM</w:t>
      </w:r>
      <w:r w:rsidR="00BD1F00">
        <w:rPr>
          <w:rFonts w:eastAsia="Times New Roman"/>
          <w:sz w:val="24"/>
          <w:szCs w:val="24"/>
          <w:lang w:val="ro-RO" w:eastAsia="ro-MD"/>
        </w:rPr>
        <w:t>,</w:t>
      </w:r>
      <w:r w:rsidR="00163A29" w:rsidRPr="00337F4A">
        <w:rPr>
          <w:rFonts w:eastAsia="Times New Roman"/>
          <w:sz w:val="24"/>
          <w:szCs w:val="24"/>
          <w:lang w:val="ro-RO" w:eastAsia="ro-MD"/>
        </w:rPr>
        <w:t xml:space="preserve"> emis în condițiile </w:t>
      </w:r>
      <w:proofErr w:type="spellStart"/>
      <w:r w:rsidR="00163A29" w:rsidRPr="00337F4A">
        <w:rPr>
          <w:rFonts w:eastAsia="Times New Roman"/>
          <w:sz w:val="24"/>
          <w:szCs w:val="24"/>
          <w:lang w:val="ro-RO" w:eastAsia="ro-MD"/>
        </w:rPr>
        <w:t>subpct</w:t>
      </w:r>
      <w:proofErr w:type="spellEnd"/>
      <w:r w:rsidR="002F2840" w:rsidRPr="00337F4A">
        <w:rPr>
          <w:rFonts w:eastAsia="Times New Roman"/>
          <w:sz w:val="24"/>
          <w:szCs w:val="24"/>
          <w:lang w:val="ro-RO" w:eastAsia="ro-MD"/>
        </w:rPr>
        <w:t>.</w:t>
      </w:r>
      <w:r w:rsidR="00163A29" w:rsidRPr="00337F4A">
        <w:rPr>
          <w:rFonts w:eastAsia="Times New Roman"/>
          <w:sz w:val="24"/>
          <w:szCs w:val="24"/>
          <w:lang w:val="ro-RO" w:eastAsia="ro-MD"/>
        </w:rPr>
        <w:t xml:space="preserve"> </w:t>
      </w:r>
      <w:r w:rsidRPr="00337F4A">
        <w:rPr>
          <w:rFonts w:eastAsia="Times New Roman"/>
          <w:sz w:val="24"/>
          <w:szCs w:val="24"/>
          <w:lang w:val="ro-RO" w:eastAsia="ro-MD"/>
        </w:rPr>
        <w:t>2</w:t>
      </w:r>
      <w:r w:rsidR="00163A29" w:rsidRPr="00337F4A">
        <w:rPr>
          <w:rFonts w:eastAsia="Times New Roman"/>
          <w:sz w:val="24"/>
          <w:szCs w:val="24"/>
          <w:lang w:val="ro-RO" w:eastAsia="ro-MD"/>
        </w:rPr>
        <w:t xml:space="preserve">) </w:t>
      </w:r>
      <w:proofErr w:type="spellStart"/>
      <w:r w:rsidR="00163A29" w:rsidRPr="00337F4A">
        <w:rPr>
          <w:rFonts w:eastAsia="Times New Roman"/>
          <w:sz w:val="24"/>
          <w:szCs w:val="24"/>
          <w:lang w:val="ro-RO" w:eastAsia="ro-MD"/>
        </w:rPr>
        <w:t>lit.c</w:t>
      </w:r>
      <w:proofErr w:type="spellEnd"/>
      <w:r w:rsidR="00163A29" w:rsidRPr="00337F4A">
        <w:rPr>
          <w:rFonts w:eastAsia="Times New Roman"/>
          <w:sz w:val="24"/>
          <w:szCs w:val="24"/>
          <w:lang w:val="ro-RO" w:eastAsia="ro-MD"/>
        </w:rPr>
        <w:t>), nu îngrădește dreptul entității raportoare de a depune o nouă cerere de înregistrare pentru aceeași persoană autorizată.</w:t>
      </w:r>
      <w:bookmarkEnd w:id="8"/>
      <w:r w:rsidR="00163A29" w:rsidRPr="00337F4A">
        <w:rPr>
          <w:rFonts w:eastAsia="Times New Roman"/>
          <w:sz w:val="24"/>
          <w:szCs w:val="24"/>
          <w:lang w:val="ro-RO" w:eastAsia="ro-MD"/>
        </w:rPr>
        <w:t>”</w:t>
      </w:r>
      <w:r w:rsidR="00565A3A" w:rsidRPr="00337F4A">
        <w:rPr>
          <w:rFonts w:eastAsia="Times New Roman"/>
          <w:sz w:val="24"/>
          <w:szCs w:val="24"/>
          <w:lang w:val="ro-RO" w:eastAsia="ro-MD"/>
        </w:rPr>
        <w:t>;</w:t>
      </w:r>
    </w:p>
    <w:p w14:paraId="47382A13" w14:textId="5B3A9696" w:rsidR="00CD02A0" w:rsidRPr="004B60DF" w:rsidRDefault="00CD02A0" w:rsidP="004B60DF">
      <w:pPr>
        <w:pStyle w:val="ListParagraph"/>
        <w:numPr>
          <w:ilvl w:val="2"/>
          <w:numId w:val="40"/>
        </w:numPr>
        <w:spacing w:before="120" w:line="276" w:lineRule="auto"/>
        <w:ind w:left="782" w:hanging="215"/>
        <w:jc w:val="both"/>
        <w:rPr>
          <w:lang w:val="ro-RO" w:eastAsia="ro-MD"/>
        </w:rPr>
      </w:pPr>
      <w:r w:rsidRPr="004B60DF">
        <w:rPr>
          <w:lang w:val="ro-RO" w:eastAsia="ro-MD"/>
        </w:rPr>
        <w:t>pct.8</w:t>
      </w:r>
      <w:r w:rsidR="00531032" w:rsidRPr="004B60DF">
        <w:rPr>
          <w:lang w:val="ro-RO" w:eastAsia="ro-MD"/>
        </w:rPr>
        <w:t xml:space="preserve"> </w:t>
      </w:r>
      <w:r w:rsidRPr="004B60DF">
        <w:rPr>
          <w:lang w:val="ro-RO" w:eastAsia="ro-MD"/>
        </w:rPr>
        <w:t>va avea următorul cuprins:</w:t>
      </w:r>
    </w:p>
    <w:p w14:paraId="1AED7E55" w14:textId="31DEB930" w:rsidR="00B04D50" w:rsidRPr="00337F4A" w:rsidRDefault="00CD02A0" w:rsidP="00D705D0">
      <w:pPr>
        <w:ind w:firstLine="567"/>
        <w:jc w:val="both"/>
        <w:rPr>
          <w:b/>
          <w:bCs/>
          <w:lang w:val="ro-RO" w:eastAsia="ro-MD"/>
        </w:rPr>
      </w:pPr>
      <w:r w:rsidRPr="00337F4A">
        <w:rPr>
          <w:lang w:val="ro-RO" w:eastAsia="ro-MD"/>
        </w:rPr>
        <w:t>„</w:t>
      </w:r>
      <w:r w:rsidR="00483359" w:rsidRPr="00337F4A">
        <w:rPr>
          <w:b/>
          <w:bCs/>
          <w:lang w:val="ro-RO" w:eastAsia="ro-MD"/>
        </w:rPr>
        <w:t xml:space="preserve">8. </w:t>
      </w:r>
      <w:r w:rsidR="00483359" w:rsidRPr="00337F4A">
        <w:rPr>
          <w:lang w:val="ro-RO" w:eastAsia="ro-MD"/>
        </w:rPr>
        <w:t>După confirmarea înregistrării utilizatorului, se întreprind următoarele</w:t>
      </w:r>
      <w:r w:rsidR="00C37F15" w:rsidRPr="00337F4A">
        <w:rPr>
          <w:lang w:val="ro-RO" w:eastAsia="ro-MD"/>
        </w:rPr>
        <w:t xml:space="preserve"> acțiuni:</w:t>
      </w:r>
      <w:r w:rsidR="00483359" w:rsidRPr="00337F4A">
        <w:rPr>
          <w:lang w:val="ro-RO" w:eastAsia="ro-MD"/>
        </w:rPr>
        <w:t xml:space="preserve"> </w:t>
      </w:r>
    </w:p>
    <w:p w14:paraId="7B3CD820" w14:textId="3D7DD127" w:rsidR="00C37F15" w:rsidRPr="0074254F" w:rsidRDefault="00CD02A0" w:rsidP="0074254F">
      <w:pPr>
        <w:pStyle w:val="ListParagraph"/>
        <w:numPr>
          <w:ilvl w:val="0"/>
          <w:numId w:val="32"/>
        </w:numPr>
        <w:ind w:left="0" w:firstLine="547"/>
        <w:jc w:val="both"/>
        <w:rPr>
          <w:lang w:val="ro-RO" w:eastAsia="ro-MD"/>
        </w:rPr>
      </w:pPr>
      <w:r w:rsidRPr="0074254F">
        <w:rPr>
          <w:lang w:val="ro-RO" w:eastAsia="ro-MD"/>
        </w:rPr>
        <w:t xml:space="preserve">entitatea raportoare/persoana autorizată asigură crearea cheii private </w:t>
      </w:r>
      <w:proofErr w:type="spellStart"/>
      <w:r w:rsidRPr="0074254F">
        <w:rPr>
          <w:lang w:val="ro-RO" w:eastAsia="ro-MD"/>
        </w:rPr>
        <w:t>şi</w:t>
      </w:r>
      <w:proofErr w:type="spellEnd"/>
      <w:r w:rsidRPr="0074254F">
        <w:rPr>
          <w:lang w:val="ro-RO" w:eastAsia="ro-MD"/>
        </w:rPr>
        <w:t xml:space="preserve"> a cheii publice </w:t>
      </w:r>
      <w:proofErr w:type="spellStart"/>
      <w:r w:rsidRPr="0074254F">
        <w:rPr>
          <w:lang w:val="ro-RO" w:eastAsia="ro-MD"/>
        </w:rPr>
        <w:t>şi</w:t>
      </w:r>
      <w:proofErr w:type="spellEnd"/>
      <w:r w:rsidRPr="0074254F">
        <w:rPr>
          <w:lang w:val="ro-RO" w:eastAsia="ro-MD"/>
        </w:rPr>
        <w:t xml:space="preserve"> </w:t>
      </w:r>
      <w:proofErr w:type="spellStart"/>
      <w:r w:rsidRPr="0074254F">
        <w:rPr>
          <w:lang w:val="ro-RO" w:eastAsia="ro-MD"/>
        </w:rPr>
        <w:t>obţine</w:t>
      </w:r>
      <w:proofErr w:type="spellEnd"/>
      <w:r w:rsidRPr="0074254F">
        <w:rPr>
          <w:lang w:val="ro-RO" w:eastAsia="ro-MD"/>
        </w:rPr>
        <w:t xml:space="preserve">, de la prestatorul de servicii de încredere, certificatul cheii publice a persoanei autorizate, utilizând un dispozitiv de creare a semnăturilor electronice sau a sigiliilor electronice, în conformitate cu </w:t>
      </w:r>
      <w:proofErr w:type="spellStart"/>
      <w:r w:rsidRPr="0074254F">
        <w:rPr>
          <w:lang w:val="ro-RO" w:eastAsia="ro-MD"/>
        </w:rPr>
        <w:t>legislaţia</w:t>
      </w:r>
      <w:proofErr w:type="spellEnd"/>
      <w:r w:rsidRPr="0074254F">
        <w:rPr>
          <w:lang w:val="ro-RO" w:eastAsia="ro-MD"/>
        </w:rPr>
        <w:t xml:space="preserve"> în vigoare </w:t>
      </w:r>
      <w:proofErr w:type="spellStart"/>
      <w:r w:rsidRPr="0074254F">
        <w:rPr>
          <w:lang w:val="ro-RO" w:eastAsia="ro-MD"/>
        </w:rPr>
        <w:t>şi</w:t>
      </w:r>
      <w:proofErr w:type="spellEnd"/>
      <w:r w:rsidRPr="0074254F">
        <w:rPr>
          <w:lang w:val="ro-RO" w:eastAsia="ro-MD"/>
        </w:rPr>
        <w:t xml:space="preserve"> cu Normele tehnice;</w:t>
      </w:r>
    </w:p>
    <w:p w14:paraId="1C1EA3D2" w14:textId="099CFA4F" w:rsidR="00CD02A0" w:rsidRPr="0074254F" w:rsidRDefault="00C37F15" w:rsidP="0074254F">
      <w:pPr>
        <w:pStyle w:val="ListParagraph"/>
        <w:numPr>
          <w:ilvl w:val="0"/>
          <w:numId w:val="32"/>
        </w:numPr>
        <w:ind w:left="0" w:firstLine="540"/>
        <w:jc w:val="both"/>
        <w:rPr>
          <w:lang w:val="ro-RO" w:eastAsia="ro-MD"/>
        </w:rPr>
      </w:pPr>
      <w:r w:rsidRPr="0074254F">
        <w:rPr>
          <w:lang w:val="ro-RO" w:eastAsia="ro-MD"/>
        </w:rPr>
        <w:t xml:space="preserve">pentru </w:t>
      </w:r>
      <w:r w:rsidR="007A4EA4" w:rsidRPr="0074254F">
        <w:rPr>
          <w:lang w:val="ro-RO" w:eastAsia="ro-MD"/>
        </w:rPr>
        <w:t>înregistrarea utilizatorului în MT SIRBNM, entitatea raportoare/persoana autorizată transmite certificatul cheii publice a persoanei autorizate la BNM, conform Normelor tehnice</w:t>
      </w:r>
      <w:r w:rsidR="003E7ECE" w:rsidRPr="0074254F">
        <w:rPr>
          <w:lang w:val="ro-RO" w:eastAsia="ro-MD"/>
        </w:rPr>
        <w:t>.</w:t>
      </w:r>
      <w:r w:rsidR="00CD02A0" w:rsidRPr="0074254F">
        <w:rPr>
          <w:lang w:val="ro-RO" w:eastAsia="ro-MD"/>
        </w:rPr>
        <w:t>”</w:t>
      </w:r>
      <w:r w:rsidR="00565A3A" w:rsidRPr="0074254F">
        <w:rPr>
          <w:lang w:val="ro-RO" w:eastAsia="ro-MD"/>
        </w:rPr>
        <w:t>;</w:t>
      </w:r>
    </w:p>
    <w:p w14:paraId="188C87B8" w14:textId="61AC7F14" w:rsidR="00240F2D" w:rsidRPr="00337F4A" w:rsidRDefault="00680195" w:rsidP="004B60DF">
      <w:pPr>
        <w:pStyle w:val="ListParagraph"/>
        <w:numPr>
          <w:ilvl w:val="2"/>
          <w:numId w:val="40"/>
        </w:numPr>
        <w:spacing w:before="120" w:line="276" w:lineRule="auto"/>
        <w:ind w:hanging="213"/>
        <w:jc w:val="both"/>
        <w:rPr>
          <w:lang w:val="ro-RO" w:eastAsia="ro-MD"/>
        </w:rPr>
      </w:pPr>
      <w:r w:rsidRPr="00337F4A">
        <w:rPr>
          <w:lang w:val="ro-RO" w:eastAsia="ro-MD"/>
        </w:rPr>
        <w:t>la pct.9:</w:t>
      </w:r>
    </w:p>
    <w:p w14:paraId="7776E475" w14:textId="599F51B5" w:rsidR="00680195" w:rsidRPr="00337F4A" w:rsidRDefault="00370980" w:rsidP="0021341C">
      <w:pPr>
        <w:pStyle w:val="ListParagraph"/>
        <w:spacing w:line="276" w:lineRule="auto"/>
        <w:ind w:left="0" w:firstLine="568"/>
        <w:jc w:val="both"/>
        <w:rPr>
          <w:lang w:val="ro-RO" w:eastAsia="ro-MD"/>
        </w:rPr>
      </w:pPr>
      <w:r>
        <w:rPr>
          <w:lang w:val="ro-RO" w:eastAsia="ro-MD"/>
        </w:rPr>
        <w:t xml:space="preserve">1.2.4.1 </w:t>
      </w:r>
      <w:r w:rsidR="00C474D7" w:rsidRPr="00337F4A">
        <w:rPr>
          <w:lang w:val="ro-RO" w:eastAsia="ro-MD"/>
        </w:rPr>
        <w:t>cuvintele</w:t>
      </w:r>
      <w:r w:rsidR="00680195" w:rsidRPr="00337F4A">
        <w:rPr>
          <w:lang w:val="ro-RO" w:eastAsia="ro-MD"/>
        </w:rPr>
        <w:t xml:space="preserve"> „înlocuirii persoanei autorizate sau în cazul suspendării ori încetării raporturilor de muncă ale acesteia”</w:t>
      </w:r>
      <w:r w:rsidR="00C474D7" w:rsidRPr="00337F4A">
        <w:rPr>
          <w:lang w:val="ro-RO" w:eastAsia="ro-MD"/>
        </w:rPr>
        <w:t xml:space="preserve"> se substituie cu cuvintele „</w:t>
      </w:r>
      <w:r w:rsidR="00C474D7" w:rsidRPr="00337F4A">
        <w:rPr>
          <w:lang w:val="ro-RO"/>
        </w:rPr>
        <w:t xml:space="preserve"> </w:t>
      </w:r>
      <w:r w:rsidR="00C474D7" w:rsidRPr="00337F4A">
        <w:rPr>
          <w:lang w:val="ro-RO" w:eastAsia="ro-MD"/>
        </w:rPr>
        <w:t>excluderii sau suspendării drepturilor persoanei autorizate”</w:t>
      </w:r>
      <w:r w:rsidR="000A5AC4" w:rsidRPr="00337F4A">
        <w:rPr>
          <w:lang w:val="ro-RO" w:eastAsia="ro-MD"/>
        </w:rPr>
        <w:t>;</w:t>
      </w:r>
    </w:p>
    <w:p w14:paraId="49892A7B" w14:textId="576DD9C1" w:rsidR="000A5AC4" w:rsidRPr="00337F4A" w:rsidRDefault="00370980" w:rsidP="000A5AC4">
      <w:pPr>
        <w:pStyle w:val="ListParagraph"/>
        <w:spacing w:line="276" w:lineRule="auto"/>
        <w:ind w:left="568"/>
        <w:jc w:val="both"/>
        <w:rPr>
          <w:lang w:val="ro-RO" w:eastAsia="ro-MD"/>
        </w:rPr>
      </w:pPr>
      <w:r>
        <w:rPr>
          <w:lang w:val="ro-RO" w:eastAsia="ro-MD"/>
        </w:rPr>
        <w:t xml:space="preserve">1.2.4.2 </w:t>
      </w:r>
      <w:r w:rsidR="00A97A4F" w:rsidRPr="00337F4A">
        <w:rPr>
          <w:lang w:val="ro-RO" w:eastAsia="ro-MD"/>
        </w:rPr>
        <w:t xml:space="preserve">cuvintele </w:t>
      </w:r>
      <w:r w:rsidR="000A5AC4" w:rsidRPr="00337F4A">
        <w:rPr>
          <w:lang w:val="ro-RO" w:eastAsia="ro-MD"/>
        </w:rPr>
        <w:t>„pe suport hârtie” se exclud</w:t>
      </w:r>
      <w:r w:rsidR="00FF5378">
        <w:rPr>
          <w:lang w:val="ro-RO" w:eastAsia="ro-MD"/>
        </w:rPr>
        <w:t>.</w:t>
      </w:r>
    </w:p>
    <w:p w14:paraId="14DB5AC9" w14:textId="07F638C9" w:rsidR="000A5AC4" w:rsidRPr="004B60DF" w:rsidRDefault="000A5AC4" w:rsidP="004B60DF">
      <w:pPr>
        <w:pStyle w:val="ListParagraph"/>
        <w:numPr>
          <w:ilvl w:val="2"/>
          <w:numId w:val="41"/>
        </w:numPr>
        <w:spacing w:before="120" w:line="276" w:lineRule="auto"/>
        <w:jc w:val="both"/>
        <w:rPr>
          <w:lang w:val="ro-RO" w:eastAsia="ro-MD"/>
        </w:rPr>
      </w:pPr>
      <w:r w:rsidRPr="004B60DF">
        <w:rPr>
          <w:lang w:val="ro-RO" w:eastAsia="ro-MD"/>
        </w:rPr>
        <w:t>la pct.10, 11, 28 și 29</w:t>
      </w:r>
      <w:r w:rsidR="00BD1F00" w:rsidRPr="004B60DF">
        <w:rPr>
          <w:lang w:val="ro-RO" w:eastAsia="ro-MD"/>
        </w:rPr>
        <w:t>,</w:t>
      </w:r>
      <w:r w:rsidRPr="004B60DF">
        <w:rPr>
          <w:lang w:val="ro-RO" w:eastAsia="ro-MD"/>
        </w:rPr>
        <w:t xml:space="preserve"> textul „pe suport hârtie,”</w:t>
      </w:r>
      <w:r w:rsidR="00A97A4F" w:rsidRPr="004B60DF">
        <w:rPr>
          <w:lang w:val="ro-RO" w:eastAsia="ro-MD"/>
        </w:rPr>
        <w:t xml:space="preserve"> se exclude;</w:t>
      </w:r>
    </w:p>
    <w:p w14:paraId="3816D133" w14:textId="6E5257D5" w:rsidR="001F2F2D" w:rsidRPr="004B60DF" w:rsidRDefault="001F2F2D" w:rsidP="004B60DF">
      <w:pPr>
        <w:pStyle w:val="ListParagraph"/>
        <w:numPr>
          <w:ilvl w:val="2"/>
          <w:numId w:val="41"/>
        </w:numPr>
        <w:spacing w:before="120" w:line="276" w:lineRule="auto"/>
        <w:ind w:left="0" w:firstLine="568"/>
        <w:jc w:val="both"/>
        <w:rPr>
          <w:lang w:val="ro-RO" w:eastAsia="ro-MD"/>
        </w:rPr>
      </w:pPr>
      <w:r w:rsidRPr="004B60DF">
        <w:rPr>
          <w:lang w:val="ro-RO" w:eastAsia="ro-MD"/>
        </w:rPr>
        <w:t>la pct.12, cuvintele „</w:t>
      </w:r>
      <w:r w:rsidRPr="004B60DF">
        <w:rPr>
          <w:lang w:val="ro-RO"/>
        </w:rPr>
        <w:t xml:space="preserve"> </w:t>
      </w:r>
      <w:r w:rsidRPr="004B60DF">
        <w:rPr>
          <w:lang w:val="ro-RO" w:eastAsia="ro-MD"/>
        </w:rPr>
        <w:t>în care aceste rapoarte sunt definite” se substituie cu cuvintele „prin care acestea se solicită”;</w:t>
      </w:r>
    </w:p>
    <w:p w14:paraId="46F8C397" w14:textId="111ADF55" w:rsidR="009A1957" w:rsidRPr="004B60DF" w:rsidRDefault="00A853DC" w:rsidP="004B60DF">
      <w:pPr>
        <w:pStyle w:val="ListParagraph"/>
        <w:numPr>
          <w:ilvl w:val="2"/>
          <w:numId w:val="41"/>
        </w:numPr>
        <w:spacing w:before="120" w:line="276" w:lineRule="auto"/>
        <w:jc w:val="both"/>
        <w:rPr>
          <w:lang w:val="ro-RO" w:eastAsia="ro-MD"/>
        </w:rPr>
      </w:pPr>
      <w:r w:rsidRPr="004B60DF">
        <w:rPr>
          <w:lang w:val="ro-RO" w:eastAsia="ro-MD"/>
        </w:rPr>
        <w:t>pct.</w:t>
      </w:r>
      <w:r w:rsidR="001F2F2D" w:rsidRPr="004B60DF" w:rsidDel="001F2F2D">
        <w:rPr>
          <w:lang w:val="ro-RO" w:eastAsia="ro-MD"/>
        </w:rPr>
        <w:t xml:space="preserve"> </w:t>
      </w:r>
      <w:r w:rsidRPr="004B60DF">
        <w:rPr>
          <w:lang w:val="ro-RO" w:eastAsia="ro-MD"/>
        </w:rPr>
        <w:t>13</w:t>
      </w:r>
      <w:r w:rsidR="00A545E2" w:rsidRPr="004B60DF">
        <w:rPr>
          <w:lang w:val="ro-RO" w:eastAsia="ro-MD"/>
        </w:rPr>
        <w:t xml:space="preserve"> va avea următorul cuprins</w:t>
      </w:r>
      <w:r w:rsidR="003F01D8" w:rsidRPr="004B60DF">
        <w:rPr>
          <w:lang w:val="ro-RO" w:eastAsia="ro-MD"/>
        </w:rPr>
        <w:t>:</w:t>
      </w:r>
      <w:r w:rsidRPr="004B60DF">
        <w:rPr>
          <w:lang w:val="ro-RO" w:eastAsia="ro-MD"/>
        </w:rPr>
        <w:t xml:space="preserve"> </w:t>
      </w:r>
    </w:p>
    <w:p w14:paraId="6C4B4410" w14:textId="287B40E1" w:rsidR="00A545E2" w:rsidRPr="00337F4A" w:rsidRDefault="00A545E2" w:rsidP="0074254F">
      <w:pPr>
        <w:pStyle w:val="ListParagraph"/>
        <w:spacing w:line="276" w:lineRule="auto"/>
        <w:ind w:left="0" w:firstLine="540"/>
        <w:jc w:val="both"/>
        <w:rPr>
          <w:lang w:val="ro-RO" w:eastAsia="ro-MD"/>
        </w:rPr>
      </w:pPr>
      <w:r w:rsidRPr="00337F4A">
        <w:rPr>
          <w:lang w:val="ro-RO" w:eastAsia="ro-MD"/>
        </w:rPr>
        <w:t>„</w:t>
      </w:r>
      <w:r w:rsidRPr="005A38E8">
        <w:rPr>
          <w:b/>
          <w:bCs/>
          <w:lang w:val="ro-RO"/>
        </w:rPr>
        <w:t>13</w:t>
      </w:r>
      <w:r w:rsidR="00F4014D" w:rsidRPr="005A38E8">
        <w:rPr>
          <w:b/>
          <w:bCs/>
          <w:lang w:val="ro-RO"/>
        </w:rPr>
        <w:t>.</w:t>
      </w:r>
      <w:r w:rsidR="00F4014D" w:rsidRPr="00337F4A">
        <w:rPr>
          <w:lang w:val="ro-RO"/>
        </w:rPr>
        <w:t xml:space="preserve"> </w:t>
      </w:r>
      <w:r w:rsidRPr="00337F4A">
        <w:rPr>
          <w:lang w:val="ro-RO" w:eastAsia="ro-MD"/>
        </w:rPr>
        <w:t xml:space="preserve">Rapoartele electronice se întocmesc </w:t>
      </w:r>
      <w:proofErr w:type="spellStart"/>
      <w:r w:rsidRPr="00337F4A">
        <w:rPr>
          <w:lang w:val="ro-RO" w:eastAsia="ro-MD"/>
        </w:rPr>
        <w:t>şi</w:t>
      </w:r>
      <w:proofErr w:type="spellEnd"/>
      <w:r w:rsidRPr="00337F4A">
        <w:rPr>
          <w:lang w:val="ro-RO" w:eastAsia="ro-MD"/>
        </w:rPr>
        <w:t xml:space="preserve"> se transmit la BNM în conformitate cu prevederile prezentei instrucțiuni și în formatul stabilit în Normele tehnice. BNM asigură accesul la Normele tehnice pentru utilizatorii înregistrați.</w:t>
      </w:r>
    </w:p>
    <w:p w14:paraId="0B1BDA7E" w14:textId="12E1EC56" w:rsidR="001B59CA" w:rsidRPr="00337F4A" w:rsidRDefault="001B59CA" w:rsidP="0074254F">
      <w:pPr>
        <w:pStyle w:val="ListParagraph"/>
        <w:spacing w:line="276" w:lineRule="auto"/>
        <w:ind w:left="0" w:firstLine="540"/>
        <w:jc w:val="both"/>
        <w:rPr>
          <w:lang w:val="ro-RO" w:eastAsia="ro-MD"/>
        </w:rPr>
      </w:pPr>
      <w:bookmarkStart w:id="9" w:name="_Hlk139869964"/>
      <w:r w:rsidRPr="00337F4A">
        <w:rPr>
          <w:lang w:val="ro-RO" w:eastAsia="ro-MD"/>
        </w:rPr>
        <w:t xml:space="preserve">La solicitare, Normele tehnice pot fi transmise utilizatorului prin intermediul </w:t>
      </w:r>
      <w:proofErr w:type="spellStart"/>
      <w:r w:rsidRPr="00337F4A">
        <w:rPr>
          <w:lang w:val="ro-RO" w:eastAsia="ro-MD"/>
        </w:rPr>
        <w:t>poştei</w:t>
      </w:r>
      <w:proofErr w:type="spellEnd"/>
      <w:r w:rsidRPr="00337F4A">
        <w:rPr>
          <w:lang w:val="ro-RO" w:eastAsia="ro-MD"/>
        </w:rPr>
        <w:t xml:space="preserve"> electronice</w:t>
      </w:r>
      <w:bookmarkEnd w:id="9"/>
      <w:r w:rsidRPr="00337F4A">
        <w:rPr>
          <w:lang w:val="ro-RO" w:eastAsia="ro-MD"/>
        </w:rPr>
        <w:t>.</w:t>
      </w:r>
      <w:r w:rsidR="00FF5378">
        <w:rPr>
          <w:lang w:val="ro-RO" w:eastAsia="ro-MD"/>
        </w:rPr>
        <w:t>”</w:t>
      </w:r>
      <w:r w:rsidR="00BD1F00">
        <w:rPr>
          <w:lang w:val="ro-RO" w:eastAsia="ro-MD"/>
        </w:rPr>
        <w:t>;</w:t>
      </w:r>
    </w:p>
    <w:p w14:paraId="6769F5B5" w14:textId="7E362B53" w:rsidR="00240F2D" w:rsidRPr="004B60DF" w:rsidRDefault="00A8697F" w:rsidP="004B60DF">
      <w:pPr>
        <w:pStyle w:val="ListParagraph"/>
        <w:numPr>
          <w:ilvl w:val="2"/>
          <w:numId w:val="41"/>
        </w:numPr>
        <w:spacing w:before="120" w:line="276" w:lineRule="auto"/>
        <w:ind w:left="0" w:firstLine="568"/>
        <w:jc w:val="both"/>
        <w:rPr>
          <w:lang w:val="ro-RO" w:eastAsia="ro-MD"/>
        </w:rPr>
      </w:pPr>
      <w:r w:rsidRPr="004B60DF">
        <w:rPr>
          <w:lang w:val="ro-RO" w:eastAsia="ro-MD"/>
        </w:rPr>
        <w:t>la</w:t>
      </w:r>
      <w:r w:rsidR="00405D28" w:rsidRPr="004B60DF">
        <w:rPr>
          <w:lang w:val="ro-RO" w:eastAsia="ro-MD"/>
        </w:rPr>
        <w:t xml:space="preserve"> </w:t>
      </w:r>
      <w:r w:rsidR="00240F2D" w:rsidRPr="004B60DF">
        <w:rPr>
          <w:lang w:val="ro-RO" w:eastAsia="ro-MD"/>
        </w:rPr>
        <w:t xml:space="preserve">pct.15, </w:t>
      </w:r>
      <w:proofErr w:type="spellStart"/>
      <w:r w:rsidR="00240F2D" w:rsidRPr="004B60DF">
        <w:rPr>
          <w:lang w:val="ro-RO" w:eastAsia="ro-MD"/>
        </w:rPr>
        <w:t>subpct</w:t>
      </w:r>
      <w:proofErr w:type="spellEnd"/>
      <w:r w:rsidR="00240F2D" w:rsidRPr="004B60DF">
        <w:rPr>
          <w:lang w:val="ro-RO" w:eastAsia="ro-MD"/>
        </w:rPr>
        <w:t xml:space="preserve">. 4) după cuvintele „portalului SIRBNM” se completează cu textul „ , portalului </w:t>
      </w:r>
      <w:r w:rsidR="00FB75E0" w:rsidRPr="004B60DF">
        <w:rPr>
          <w:lang w:val="ro-RO" w:eastAsia="ro-MD"/>
        </w:rPr>
        <w:t xml:space="preserve">SIA </w:t>
      </w:r>
      <w:r w:rsidR="00240F2D" w:rsidRPr="004B60DF">
        <w:rPr>
          <w:lang w:val="ro-RO" w:eastAsia="ro-MD"/>
        </w:rPr>
        <w:t>SIREM”;</w:t>
      </w:r>
    </w:p>
    <w:p w14:paraId="217B936E" w14:textId="5C8C0730" w:rsidR="004A04CC" w:rsidRPr="005A38E8" w:rsidRDefault="004A04CC" w:rsidP="004B60DF">
      <w:pPr>
        <w:pStyle w:val="ListParagraph"/>
        <w:numPr>
          <w:ilvl w:val="2"/>
          <w:numId w:val="41"/>
        </w:numPr>
        <w:spacing w:before="120" w:line="276" w:lineRule="auto"/>
        <w:jc w:val="both"/>
        <w:rPr>
          <w:lang w:val="ro-RO" w:eastAsia="ro-MD"/>
        </w:rPr>
      </w:pPr>
      <w:r w:rsidRPr="005A38E8">
        <w:rPr>
          <w:lang w:val="ro-RO" w:eastAsia="ro-MD"/>
        </w:rPr>
        <w:t>la pct.16</w:t>
      </w:r>
      <w:r w:rsidR="00A21FFC" w:rsidRPr="005A38E8">
        <w:rPr>
          <w:lang w:val="ro-RO" w:eastAsia="ro-MD"/>
        </w:rPr>
        <w:t>:</w:t>
      </w:r>
    </w:p>
    <w:p w14:paraId="243BCAF6" w14:textId="54ED5355" w:rsidR="00A21FFC" w:rsidRPr="005A38E8" w:rsidRDefault="00415FC6" w:rsidP="004B60DF">
      <w:pPr>
        <w:pStyle w:val="ListParagraph"/>
        <w:spacing w:before="120" w:line="276" w:lineRule="auto"/>
        <w:ind w:left="0" w:firstLine="539"/>
        <w:jc w:val="both"/>
        <w:rPr>
          <w:lang w:val="ro-RO" w:eastAsia="ro-MD"/>
        </w:rPr>
      </w:pPr>
      <w:r>
        <w:rPr>
          <w:lang w:val="ro-RO" w:eastAsia="ro-MD"/>
        </w:rPr>
        <w:t>1.2.9.1</w:t>
      </w:r>
      <w:r w:rsidR="00A21FFC" w:rsidRPr="005A38E8">
        <w:rPr>
          <w:lang w:val="ro-RO" w:eastAsia="ro-MD"/>
        </w:rPr>
        <w:t xml:space="preserve"> la subpct.1)</w:t>
      </w:r>
      <w:r w:rsidR="00515019" w:rsidRPr="005A38E8">
        <w:rPr>
          <w:lang w:val="ro-RO" w:eastAsia="ro-MD"/>
        </w:rPr>
        <w:t>,</w:t>
      </w:r>
      <w:r w:rsidR="00A21FFC" w:rsidRPr="005A38E8">
        <w:rPr>
          <w:lang w:val="ro-RO" w:eastAsia="ro-MD"/>
        </w:rPr>
        <w:t xml:space="preserve"> după cuvintele „în conformitate cu” se completează cu cuvintele „prevederile prezentei instrucțiuni și cu”</w:t>
      </w:r>
      <w:r w:rsidR="00515019" w:rsidRPr="005A38E8">
        <w:rPr>
          <w:lang w:val="ro-RO" w:eastAsia="ro-MD"/>
        </w:rPr>
        <w:t>;</w:t>
      </w:r>
    </w:p>
    <w:p w14:paraId="58646386" w14:textId="68D882FE" w:rsidR="00515019" w:rsidRPr="005A38E8" w:rsidRDefault="00415FC6" w:rsidP="004B60DF">
      <w:pPr>
        <w:pStyle w:val="ListParagraph"/>
        <w:spacing w:line="276" w:lineRule="auto"/>
        <w:ind w:left="0" w:firstLine="539"/>
        <w:jc w:val="both"/>
        <w:rPr>
          <w:lang w:val="ro-RO" w:eastAsia="ro-MD"/>
        </w:rPr>
      </w:pPr>
      <w:r>
        <w:rPr>
          <w:lang w:val="ro-RO" w:eastAsia="ro-MD"/>
        </w:rPr>
        <w:t>1.2.9.2</w:t>
      </w:r>
      <w:r w:rsidR="00515019" w:rsidRPr="005A38E8">
        <w:rPr>
          <w:lang w:val="ro-RO" w:eastAsia="ro-MD"/>
        </w:rPr>
        <w:t xml:space="preserve"> la subpct.2), textul „de BNM” se substituie cu cuvintele „în actele normative”</w:t>
      </w:r>
      <w:r w:rsidR="00BD1F00">
        <w:rPr>
          <w:lang w:val="ro-RO" w:eastAsia="ro-MD"/>
        </w:rPr>
        <w:t>;</w:t>
      </w:r>
    </w:p>
    <w:p w14:paraId="708B1643" w14:textId="4E0A6FC4" w:rsidR="00405D28" w:rsidRPr="004B60DF" w:rsidRDefault="001A009E" w:rsidP="004B60DF">
      <w:pPr>
        <w:pStyle w:val="ListParagraph"/>
        <w:numPr>
          <w:ilvl w:val="2"/>
          <w:numId w:val="41"/>
        </w:numPr>
        <w:spacing w:before="120" w:line="276" w:lineRule="auto"/>
        <w:jc w:val="both"/>
        <w:rPr>
          <w:lang w:val="ro-RO" w:eastAsia="ro-MD"/>
        </w:rPr>
      </w:pPr>
      <w:r w:rsidRPr="004B60DF">
        <w:rPr>
          <w:lang w:val="ro-RO" w:eastAsia="ro-MD"/>
        </w:rPr>
        <w:t>la</w:t>
      </w:r>
      <w:r w:rsidR="00240F2D" w:rsidRPr="004B60DF">
        <w:rPr>
          <w:lang w:val="ro-RO" w:eastAsia="ro-MD"/>
        </w:rPr>
        <w:t xml:space="preserve"> pct. 22</w:t>
      </w:r>
      <w:r w:rsidR="00BD1F00" w:rsidRPr="004B60DF">
        <w:rPr>
          <w:lang w:val="ro-RO" w:eastAsia="ro-MD"/>
        </w:rPr>
        <w:t>,</w:t>
      </w:r>
      <w:r w:rsidR="00240F2D" w:rsidRPr="004B60DF">
        <w:rPr>
          <w:lang w:val="ro-RO" w:eastAsia="ro-MD"/>
        </w:rPr>
        <w:t xml:space="preserve"> cuvintele „sunt respinse” </w:t>
      </w:r>
      <w:r w:rsidR="00405D28" w:rsidRPr="004B60DF">
        <w:rPr>
          <w:lang w:val="ro-RO" w:eastAsia="ro-MD"/>
        </w:rPr>
        <w:t>se substituie</w:t>
      </w:r>
      <w:r w:rsidR="00240F2D" w:rsidRPr="004B60DF">
        <w:rPr>
          <w:lang w:val="ro-RO" w:eastAsia="ro-MD"/>
        </w:rPr>
        <w:t xml:space="preserve"> cu cuvintele „nu sunt acceptate”;</w:t>
      </w:r>
    </w:p>
    <w:p w14:paraId="406BDD18" w14:textId="29794B14" w:rsidR="00B867FD" w:rsidRPr="00337F4A" w:rsidRDefault="00DF569B" w:rsidP="004B60DF">
      <w:pPr>
        <w:pStyle w:val="ListParagraph"/>
        <w:numPr>
          <w:ilvl w:val="2"/>
          <w:numId w:val="41"/>
        </w:numPr>
        <w:spacing w:before="120" w:line="276" w:lineRule="auto"/>
        <w:ind w:left="0" w:firstLine="568"/>
        <w:jc w:val="both"/>
        <w:rPr>
          <w:lang w:val="ro-RO" w:eastAsia="ro-MD"/>
        </w:rPr>
      </w:pPr>
      <w:r w:rsidRPr="00337F4A">
        <w:rPr>
          <w:lang w:val="ro-RO" w:eastAsia="ro-MD"/>
        </w:rPr>
        <w:t>la</w:t>
      </w:r>
      <w:r w:rsidR="00405D28" w:rsidRPr="00337F4A">
        <w:rPr>
          <w:lang w:val="ro-RO" w:eastAsia="ro-MD"/>
        </w:rPr>
        <w:t xml:space="preserve"> pct. 24</w:t>
      </w:r>
      <w:r w:rsidRPr="00337F4A">
        <w:rPr>
          <w:lang w:val="ro-RO" w:eastAsia="ro-MD"/>
        </w:rPr>
        <w:t>,</w:t>
      </w:r>
      <w:r w:rsidR="00405D28" w:rsidRPr="00337F4A">
        <w:rPr>
          <w:lang w:val="ro-RO" w:eastAsia="ro-MD"/>
        </w:rPr>
        <w:t xml:space="preserve"> </w:t>
      </w:r>
      <w:proofErr w:type="spellStart"/>
      <w:r w:rsidR="00405D28" w:rsidRPr="00337F4A">
        <w:rPr>
          <w:lang w:val="ro-RO" w:eastAsia="ro-MD"/>
        </w:rPr>
        <w:t>subpct</w:t>
      </w:r>
      <w:proofErr w:type="spellEnd"/>
      <w:r w:rsidR="00405D28" w:rsidRPr="00337F4A">
        <w:rPr>
          <w:lang w:val="ro-RO" w:eastAsia="ro-MD"/>
        </w:rPr>
        <w:t>. 1)</w:t>
      </w:r>
      <w:r w:rsidR="00A26235" w:rsidRPr="00337F4A">
        <w:rPr>
          <w:lang w:val="ro-RO" w:eastAsia="ro-MD"/>
        </w:rPr>
        <w:t xml:space="preserve"> și 2)</w:t>
      </w:r>
      <w:r w:rsidR="00405D28" w:rsidRPr="00337F4A">
        <w:rPr>
          <w:lang w:val="ro-RO" w:eastAsia="ro-MD"/>
        </w:rPr>
        <w:t xml:space="preserve"> </w:t>
      </w:r>
      <w:r w:rsidR="002E6AF8" w:rsidRPr="00337F4A">
        <w:rPr>
          <w:lang w:val="ro-RO" w:eastAsia="ro-MD"/>
        </w:rPr>
        <w:t>se expun în redacție nouă și se completează cu subpct.3), cu</w:t>
      </w:r>
      <w:r w:rsidR="00405D28" w:rsidRPr="00337F4A">
        <w:rPr>
          <w:lang w:val="ro-RO" w:eastAsia="ro-MD"/>
        </w:rPr>
        <w:t xml:space="preserve"> următorul cuprins:</w:t>
      </w:r>
    </w:p>
    <w:p w14:paraId="2686F5B5" w14:textId="3AFFAE69" w:rsidR="00B867FD" w:rsidRPr="00337F4A" w:rsidRDefault="00405D28" w:rsidP="00A26235">
      <w:pPr>
        <w:spacing w:line="276" w:lineRule="auto"/>
        <w:ind w:left="1" w:firstLine="566"/>
        <w:jc w:val="both"/>
        <w:rPr>
          <w:lang w:val="ro-RO" w:eastAsia="ro-MD"/>
        </w:rPr>
      </w:pPr>
      <w:r w:rsidRPr="00337F4A">
        <w:rPr>
          <w:lang w:val="ro-RO" w:eastAsia="ro-MD"/>
        </w:rPr>
        <w:t>„</w:t>
      </w:r>
      <w:r w:rsidR="00B867FD" w:rsidRPr="00337F4A">
        <w:rPr>
          <w:lang w:val="ro-RO" w:eastAsia="ro-MD"/>
        </w:rPr>
        <w:t xml:space="preserve">1) </w:t>
      </w:r>
      <w:r w:rsidRPr="00337F4A">
        <w:rPr>
          <w:lang w:val="ro-RO" w:eastAsia="ro-MD"/>
        </w:rPr>
        <w:t>decizia de acceptare a transmiterii repetate a raportării;</w:t>
      </w:r>
    </w:p>
    <w:p w14:paraId="1F00CC76" w14:textId="04331695" w:rsidR="002E6AF8" w:rsidRPr="0074254F" w:rsidRDefault="00A26235" w:rsidP="0074254F">
      <w:pPr>
        <w:pStyle w:val="ListParagraph"/>
        <w:numPr>
          <w:ilvl w:val="0"/>
          <w:numId w:val="35"/>
        </w:numPr>
        <w:spacing w:line="276" w:lineRule="auto"/>
        <w:ind w:left="0" w:firstLine="568"/>
        <w:jc w:val="both"/>
        <w:rPr>
          <w:lang w:val="ro-RO" w:eastAsia="ro-MD"/>
        </w:rPr>
      </w:pPr>
      <w:bookmarkStart w:id="10" w:name="_Hlk147237106"/>
      <w:r w:rsidRPr="0074254F">
        <w:rPr>
          <w:lang w:val="ro-RO" w:eastAsia="ro-MD"/>
        </w:rPr>
        <w:lastRenderedPageBreak/>
        <w:t>necesitatea transmiterii unor explicații</w:t>
      </w:r>
      <w:r w:rsidR="001A46ED" w:rsidRPr="0074254F">
        <w:rPr>
          <w:lang w:val="ro-RO" w:eastAsia="ro-MD"/>
        </w:rPr>
        <w:t xml:space="preserve"> mai detaliate </w:t>
      </w:r>
      <w:r w:rsidR="00DF569B" w:rsidRPr="0074254F">
        <w:rPr>
          <w:lang w:val="ro-RO" w:eastAsia="ro-MD"/>
        </w:rPr>
        <w:t xml:space="preserve">cu privire la modificările ce </w:t>
      </w:r>
      <w:r w:rsidR="003B7ADD" w:rsidRPr="0074254F">
        <w:rPr>
          <w:lang w:val="ro-RO" w:eastAsia="ro-MD"/>
        </w:rPr>
        <w:t xml:space="preserve">vor </w:t>
      </w:r>
      <w:r w:rsidR="00DF569B" w:rsidRPr="0074254F">
        <w:rPr>
          <w:lang w:val="ro-RO" w:eastAsia="ro-MD"/>
        </w:rPr>
        <w:t>fi efectuate</w:t>
      </w:r>
      <w:bookmarkEnd w:id="10"/>
      <w:r w:rsidR="00DF569B" w:rsidRPr="0074254F">
        <w:rPr>
          <w:lang w:val="ro-RO" w:eastAsia="ro-MD"/>
        </w:rPr>
        <w:t>;</w:t>
      </w:r>
    </w:p>
    <w:p w14:paraId="3F8C6619" w14:textId="4D663EBE" w:rsidR="00405D28" w:rsidRPr="00337F4A" w:rsidRDefault="002E6AF8" w:rsidP="0074254F">
      <w:pPr>
        <w:pStyle w:val="ListParagraph"/>
        <w:numPr>
          <w:ilvl w:val="0"/>
          <w:numId w:val="35"/>
        </w:numPr>
        <w:spacing w:line="276" w:lineRule="auto"/>
        <w:jc w:val="both"/>
        <w:rPr>
          <w:lang w:val="ro-RO" w:eastAsia="ro-MD"/>
        </w:rPr>
      </w:pPr>
      <w:r w:rsidRPr="00337F4A">
        <w:rPr>
          <w:lang w:val="ro-RO" w:eastAsia="ro-MD"/>
        </w:rPr>
        <w:t xml:space="preserve"> refuzul transmiterii repetate a raportului (cu indicarea motivului de refuz).</w:t>
      </w:r>
      <w:r w:rsidR="007769DA" w:rsidRPr="00337F4A">
        <w:rPr>
          <w:lang w:val="ro-RO" w:eastAsia="ro-MD"/>
        </w:rPr>
        <w:t>”</w:t>
      </w:r>
      <w:r w:rsidR="00B87B98" w:rsidRPr="00337F4A">
        <w:rPr>
          <w:lang w:val="ro-RO" w:eastAsia="ro-MD"/>
        </w:rPr>
        <w:t>;</w:t>
      </w:r>
    </w:p>
    <w:p w14:paraId="54E680D0" w14:textId="3726D176" w:rsidR="00240F2D" w:rsidRPr="004B60DF" w:rsidRDefault="007769DA" w:rsidP="004B60DF">
      <w:pPr>
        <w:pStyle w:val="ListParagraph"/>
        <w:numPr>
          <w:ilvl w:val="2"/>
          <w:numId w:val="41"/>
        </w:numPr>
        <w:spacing w:before="120" w:line="276" w:lineRule="auto"/>
        <w:ind w:left="0" w:firstLine="568"/>
        <w:jc w:val="both"/>
        <w:rPr>
          <w:lang w:val="ro-RO" w:eastAsia="ro-MD"/>
        </w:rPr>
      </w:pPr>
      <w:r w:rsidRPr="004B60DF">
        <w:rPr>
          <w:lang w:val="ro-RO" w:eastAsia="ro-MD"/>
        </w:rPr>
        <w:t>pct. 25</w:t>
      </w:r>
      <w:r w:rsidR="00DC2F2C" w:rsidRPr="004B60DF">
        <w:rPr>
          <w:lang w:val="ro-RO" w:eastAsia="ro-MD"/>
        </w:rPr>
        <w:t>,</w:t>
      </w:r>
      <w:r w:rsidRPr="004B60DF">
        <w:rPr>
          <w:lang w:val="ro-RO" w:eastAsia="ro-MD"/>
        </w:rPr>
        <w:t xml:space="preserve"> </w:t>
      </w:r>
      <w:r w:rsidR="00BD1F00" w:rsidRPr="004B60DF">
        <w:rPr>
          <w:lang w:val="ro-RO" w:eastAsia="ro-MD"/>
        </w:rPr>
        <w:t xml:space="preserve">la </w:t>
      </w:r>
      <w:r w:rsidRPr="004B60DF">
        <w:rPr>
          <w:lang w:val="ro-RO" w:eastAsia="ro-MD"/>
        </w:rPr>
        <w:t>sfârșit</w:t>
      </w:r>
      <w:r w:rsidR="00BD1F00" w:rsidRPr="004B60DF">
        <w:rPr>
          <w:lang w:val="ro-RO" w:eastAsia="ro-MD"/>
        </w:rPr>
        <w:t>,</w:t>
      </w:r>
      <w:r w:rsidRPr="004B60DF">
        <w:rPr>
          <w:lang w:val="ro-RO" w:eastAsia="ro-MD"/>
        </w:rPr>
        <w:t xml:space="preserve"> se completează cu următoarele cuvinte „și de retransmitere a rapoartelor </w:t>
      </w:r>
      <w:r w:rsidR="00CB59B4" w:rsidRPr="004B60DF">
        <w:rPr>
          <w:lang w:val="ro-RO" w:eastAsia="ro-MD"/>
        </w:rPr>
        <w:t>corectate</w:t>
      </w:r>
      <w:r w:rsidRPr="004B60DF">
        <w:rPr>
          <w:lang w:val="ro-RO" w:eastAsia="ro-MD"/>
        </w:rPr>
        <w:t>”;</w:t>
      </w:r>
    </w:p>
    <w:p w14:paraId="0C707932" w14:textId="4CDE8EFC" w:rsidR="00DC2F2C" w:rsidRPr="00337F4A" w:rsidRDefault="00DC2F2C" w:rsidP="004B60DF">
      <w:pPr>
        <w:pStyle w:val="ListParagraph"/>
        <w:numPr>
          <w:ilvl w:val="2"/>
          <w:numId w:val="41"/>
        </w:numPr>
        <w:spacing w:before="120" w:line="276" w:lineRule="auto"/>
        <w:ind w:left="0" w:firstLine="568"/>
        <w:jc w:val="both"/>
        <w:rPr>
          <w:lang w:val="ro-RO" w:eastAsia="ro-MD"/>
        </w:rPr>
      </w:pPr>
      <w:r w:rsidRPr="00337F4A">
        <w:rPr>
          <w:lang w:val="ro-RO" w:eastAsia="ro-MD"/>
        </w:rPr>
        <w:t>la pct.</w:t>
      </w:r>
      <w:r w:rsidR="001E2A65" w:rsidRPr="00337F4A">
        <w:rPr>
          <w:lang w:val="ro-RO" w:eastAsia="ro-MD"/>
        </w:rPr>
        <w:t xml:space="preserve"> </w:t>
      </w:r>
      <w:r w:rsidRPr="00337F4A">
        <w:rPr>
          <w:lang w:val="ro-RO" w:eastAsia="ro-MD"/>
        </w:rPr>
        <w:t xml:space="preserve">26, </w:t>
      </w:r>
      <w:r w:rsidR="001874F9" w:rsidRPr="00337F4A">
        <w:rPr>
          <w:lang w:val="ro-RO" w:eastAsia="ro-MD"/>
        </w:rPr>
        <w:t>cuvintele „deschiderea accesului pentru” se substituie cu cuvintele „acceptarea solicitării de”</w:t>
      </w:r>
      <w:r w:rsidR="00B87B98" w:rsidRPr="00337F4A">
        <w:rPr>
          <w:lang w:val="ro-RO" w:eastAsia="ro-MD"/>
        </w:rPr>
        <w:t>;</w:t>
      </w:r>
    </w:p>
    <w:p w14:paraId="176D3C50" w14:textId="0C7617FB" w:rsidR="00CB59B4" w:rsidRPr="004B60DF" w:rsidRDefault="00A20439" w:rsidP="004B60DF">
      <w:pPr>
        <w:pStyle w:val="ListParagraph"/>
        <w:numPr>
          <w:ilvl w:val="2"/>
          <w:numId w:val="41"/>
        </w:numPr>
        <w:spacing w:before="120" w:line="276" w:lineRule="auto"/>
        <w:jc w:val="both"/>
        <w:rPr>
          <w:lang w:val="ro-RO" w:eastAsia="ro-MD"/>
        </w:rPr>
      </w:pPr>
      <w:r w:rsidRPr="004B60DF">
        <w:rPr>
          <w:lang w:val="ro-RO" w:eastAsia="ro-MD"/>
        </w:rPr>
        <w:t>pct.</w:t>
      </w:r>
      <w:r w:rsidR="001E2A65" w:rsidRPr="004B60DF">
        <w:rPr>
          <w:lang w:val="ro-RO" w:eastAsia="ro-MD"/>
        </w:rPr>
        <w:t xml:space="preserve"> </w:t>
      </w:r>
      <w:r w:rsidRPr="004B60DF">
        <w:rPr>
          <w:lang w:val="ro-RO" w:eastAsia="ro-MD"/>
        </w:rPr>
        <w:t>27 va avea următorul cuprins:</w:t>
      </w:r>
    </w:p>
    <w:p w14:paraId="5D8B8143" w14:textId="27FFC662" w:rsidR="008058ED" w:rsidRPr="00337F4A" w:rsidRDefault="00A20439" w:rsidP="0074254F">
      <w:pPr>
        <w:pStyle w:val="ListParagraph"/>
        <w:spacing w:line="276" w:lineRule="auto"/>
        <w:ind w:left="0" w:firstLine="360"/>
        <w:jc w:val="both"/>
        <w:rPr>
          <w:lang w:val="ro-RO" w:eastAsia="ro-MD"/>
        </w:rPr>
      </w:pPr>
      <w:r w:rsidRPr="00337F4A">
        <w:rPr>
          <w:lang w:val="ro-RO" w:eastAsia="ro-MD"/>
        </w:rPr>
        <w:t>„</w:t>
      </w:r>
      <w:r w:rsidRPr="00337F4A">
        <w:rPr>
          <w:b/>
          <w:bCs/>
          <w:lang w:val="ro-RO" w:eastAsia="ro-MD"/>
        </w:rPr>
        <w:t>27</w:t>
      </w:r>
      <w:r w:rsidR="00C3212E" w:rsidRPr="00337F4A">
        <w:rPr>
          <w:b/>
          <w:bCs/>
          <w:lang w:val="ro-RO" w:eastAsia="ro-MD"/>
        </w:rPr>
        <w:t>.</w:t>
      </w:r>
      <w:r w:rsidR="00970C9C" w:rsidRPr="00337F4A">
        <w:rPr>
          <w:b/>
          <w:bCs/>
          <w:lang w:val="ro-RO" w:eastAsia="ro-MD"/>
        </w:rPr>
        <w:t xml:space="preserve"> </w:t>
      </w:r>
      <w:r w:rsidR="00C3212E" w:rsidRPr="00337F4A">
        <w:rPr>
          <w:lang w:val="ro-RO" w:eastAsia="ro-MD"/>
        </w:rPr>
        <w:t xml:space="preserve">BNM </w:t>
      </w:r>
      <w:proofErr w:type="spellStart"/>
      <w:r w:rsidR="00C3212E" w:rsidRPr="00337F4A">
        <w:rPr>
          <w:lang w:val="ro-RO" w:eastAsia="ro-MD"/>
        </w:rPr>
        <w:t>revizuieşte</w:t>
      </w:r>
      <w:proofErr w:type="spellEnd"/>
      <w:r w:rsidR="00C3212E" w:rsidRPr="00337F4A">
        <w:rPr>
          <w:lang w:val="ro-RO" w:eastAsia="ro-MD"/>
        </w:rPr>
        <w:t xml:space="preserve"> anual drepturile de acces ale utilizatorilor </w:t>
      </w:r>
      <w:proofErr w:type="spellStart"/>
      <w:r w:rsidR="00C3212E" w:rsidRPr="00337F4A">
        <w:rPr>
          <w:lang w:val="ro-RO" w:eastAsia="ro-MD"/>
        </w:rPr>
        <w:t>entităţilor</w:t>
      </w:r>
      <w:proofErr w:type="spellEnd"/>
      <w:r w:rsidR="00C3212E" w:rsidRPr="00337F4A">
        <w:rPr>
          <w:lang w:val="ro-RO" w:eastAsia="ro-MD"/>
        </w:rPr>
        <w:t xml:space="preserve"> raportoare la rapoartele din cadrul SIRBNM</w:t>
      </w:r>
      <w:r w:rsidR="00DE3DBF" w:rsidRPr="00337F4A">
        <w:rPr>
          <w:lang w:val="ro-RO" w:eastAsia="ro-MD"/>
        </w:rPr>
        <w:t xml:space="preserve">. </w:t>
      </w:r>
      <w:r w:rsidR="003C67B6" w:rsidRPr="00337F4A">
        <w:rPr>
          <w:lang w:val="ro-RO" w:eastAsia="ro-MD"/>
        </w:rPr>
        <w:t xml:space="preserve">În acest scop, </w:t>
      </w:r>
      <w:r w:rsidR="00DE3DBF" w:rsidRPr="00337F4A">
        <w:rPr>
          <w:lang w:val="ro-RO" w:eastAsia="ro-MD"/>
        </w:rPr>
        <w:t xml:space="preserve">BNM informează </w:t>
      </w:r>
      <w:proofErr w:type="spellStart"/>
      <w:r w:rsidR="00DE3DBF" w:rsidRPr="00337F4A">
        <w:rPr>
          <w:lang w:val="ro-RO" w:eastAsia="ro-MD"/>
        </w:rPr>
        <w:t>entităţile</w:t>
      </w:r>
      <w:proofErr w:type="spellEnd"/>
      <w:r w:rsidR="00DE3DBF" w:rsidRPr="00337F4A">
        <w:rPr>
          <w:lang w:val="ro-RO" w:eastAsia="ro-MD"/>
        </w:rPr>
        <w:t xml:space="preserve"> raportoare, printr-o scrisoare oficială, despre necesitatea revizuirii drepturilor de acces ale utilizatorilor săi, cel târziu până la data de 31 decembrie.</w:t>
      </w:r>
      <w:r w:rsidR="00D54FF3">
        <w:rPr>
          <w:lang w:val="ro-RO" w:eastAsia="ro-MD"/>
        </w:rPr>
        <w:t>”</w:t>
      </w:r>
      <w:r w:rsidR="00BD1F00">
        <w:rPr>
          <w:lang w:val="ro-RO" w:eastAsia="ro-MD"/>
        </w:rPr>
        <w:t>;</w:t>
      </w:r>
    </w:p>
    <w:p w14:paraId="79E1394E" w14:textId="0D3C2034" w:rsidR="00B57134" w:rsidRPr="00337F4A" w:rsidRDefault="0062727A" w:rsidP="004B60DF">
      <w:pPr>
        <w:pStyle w:val="ListParagraph"/>
        <w:numPr>
          <w:ilvl w:val="2"/>
          <w:numId w:val="41"/>
        </w:numPr>
        <w:spacing w:before="120" w:line="276" w:lineRule="auto"/>
        <w:ind w:left="0" w:firstLine="568"/>
        <w:jc w:val="both"/>
        <w:rPr>
          <w:lang w:val="ro-RO" w:eastAsia="ro-MD"/>
        </w:rPr>
      </w:pPr>
      <w:r w:rsidRPr="00337F4A">
        <w:rPr>
          <w:lang w:val="ro-RO" w:eastAsia="ro-MD"/>
        </w:rPr>
        <w:t xml:space="preserve">la </w:t>
      </w:r>
      <w:r w:rsidR="007769DA" w:rsidRPr="00337F4A">
        <w:rPr>
          <w:lang w:val="ro-RO" w:eastAsia="ro-MD"/>
        </w:rPr>
        <w:t>pct. 30</w:t>
      </w:r>
      <w:r w:rsidR="001974CF" w:rsidRPr="00337F4A">
        <w:rPr>
          <w:lang w:val="ro-RO" w:eastAsia="ro-MD"/>
        </w:rPr>
        <w:t xml:space="preserve">, textul </w:t>
      </w:r>
      <w:r w:rsidR="007769DA" w:rsidRPr="00337F4A">
        <w:rPr>
          <w:lang w:val="ro-RO" w:eastAsia="ro-MD"/>
        </w:rPr>
        <w:t>„</w:t>
      </w:r>
      <w:r w:rsidR="001974CF" w:rsidRPr="00337F4A">
        <w:rPr>
          <w:lang w:val="ro-RO" w:eastAsia="ro-MD"/>
        </w:rPr>
        <w:t>și</w:t>
      </w:r>
      <w:r w:rsidR="00964477" w:rsidRPr="00337F4A">
        <w:rPr>
          <w:lang w:val="ro-RO" w:eastAsia="ro-MD"/>
        </w:rPr>
        <w:t xml:space="preserve"> Legea nr.114/2012 cu privire la serviciile de plată </w:t>
      </w:r>
      <w:proofErr w:type="spellStart"/>
      <w:r w:rsidR="00964477" w:rsidRPr="00337F4A">
        <w:rPr>
          <w:lang w:val="ro-RO" w:eastAsia="ro-MD"/>
        </w:rPr>
        <w:t>şi</w:t>
      </w:r>
      <w:proofErr w:type="spellEnd"/>
      <w:r w:rsidR="00964477" w:rsidRPr="00337F4A">
        <w:rPr>
          <w:lang w:val="ro-RO" w:eastAsia="ro-MD"/>
        </w:rPr>
        <w:t xml:space="preserve"> moneda electronică</w:t>
      </w:r>
      <w:bookmarkStart w:id="11" w:name="_Hlk139378213"/>
      <w:r w:rsidR="001974CF" w:rsidRPr="00337F4A">
        <w:rPr>
          <w:lang w:val="ro-RO" w:eastAsia="ro-MD"/>
        </w:rPr>
        <w:t xml:space="preserve">” se substituie cu textul „Legea nr.114/2012 cu privire la serviciile de plată </w:t>
      </w:r>
      <w:proofErr w:type="spellStart"/>
      <w:r w:rsidR="001974CF" w:rsidRPr="00337F4A">
        <w:rPr>
          <w:lang w:val="ro-RO" w:eastAsia="ro-MD"/>
        </w:rPr>
        <w:t>şi</w:t>
      </w:r>
      <w:proofErr w:type="spellEnd"/>
      <w:r w:rsidR="001974CF" w:rsidRPr="00337F4A">
        <w:rPr>
          <w:lang w:val="ro-RO" w:eastAsia="ro-MD"/>
        </w:rPr>
        <w:t xml:space="preserve"> moneda electronică,</w:t>
      </w:r>
      <w:r w:rsidR="00964477" w:rsidRPr="00337F4A">
        <w:rPr>
          <w:lang w:val="ro-RO" w:eastAsia="ro-MD"/>
        </w:rPr>
        <w:t xml:space="preserve"> Legea asociațiilor de economii și împrumut</w:t>
      </w:r>
      <w:r w:rsidR="00E42896" w:rsidRPr="00337F4A">
        <w:rPr>
          <w:lang w:val="ro-RO" w:eastAsia="ro-MD"/>
        </w:rPr>
        <w:t xml:space="preserve"> nr. 139/2007</w:t>
      </w:r>
      <w:r w:rsidR="00964477" w:rsidRPr="00337F4A">
        <w:rPr>
          <w:lang w:val="ro-RO" w:eastAsia="ro-MD"/>
        </w:rPr>
        <w:t>, Legea nr. 122/2008 privind birourile istoriilor de credit, Legea nr. 1/2018 cu privire la organizațiile de creditare nebancară și Legea nr. 92/2022 privind activitatea de asigurare sau de reasigurare</w:t>
      </w:r>
      <w:bookmarkEnd w:id="11"/>
      <w:r w:rsidR="007769DA" w:rsidRPr="00337F4A">
        <w:rPr>
          <w:lang w:val="ro-RO" w:eastAsia="ro-MD"/>
        </w:rPr>
        <w:t>”</w:t>
      </w:r>
      <w:r w:rsidR="00B87B98" w:rsidRPr="00337F4A">
        <w:rPr>
          <w:lang w:val="ro-RO" w:eastAsia="ro-MD"/>
        </w:rPr>
        <w:t>;</w:t>
      </w:r>
    </w:p>
    <w:p w14:paraId="0421DB4B" w14:textId="673E6ED0" w:rsidR="0091041E" w:rsidRPr="005A38E8" w:rsidRDefault="0091041E" w:rsidP="004B60DF">
      <w:pPr>
        <w:pStyle w:val="ListParagraph"/>
        <w:numPr>
          <w:ilvl w:val="2"/>
          <w:numId w:val="41"/>
        </w:numPr>
        <w:spacing w:before="120" w:line="276" w:lineRule="auto"/>
        <w:jc w:val="both"/>
        <w:rPr>
          <w:lang w:val="ro-RO"/>
        </w:rPr>
      </w:pPr>
      <w:r w:rsidRPr="005A38E8">
        <w:rPr>
          <w:lang w:val="ro-RO"/>
        </w:rPr>
        <w:t xml:space="preserve">în anexa nr.1, </w:t>
      </w:r>
      <w:r w:rsidR="00BD1F00">
        <w:rPr>
          <w:lang w:val="ro-RO"/>
        </w:rPr>
        <w:t>t</w:t>
      </w:r>
      <w:r w:rsidRPr="005A38E8">
        <w:rPr>
          <w:lang w:val="ro-RO"/>
        </w:rPr>
        <w:t>abelul 1:</w:t>
      </w:r>
    </w:p>
    <w:p w14:paraId="18965DC7" w14:textId="2FFE9535" w:rsidR="00F82123" w:rsidRPr="005A38E8" w:rsidRDefault="00370980" w:rsidP="004B60DF">
      <w:pPr>
        <w:pStyle w:val="ListParagraph"/>
        <w:numPr>
          <w:ilvl w:val="3"/>
          <w:numId w:val="41"/>
        </w:numPr>
        <w:spacing w:line="276" w:lineRule="auto"/>
        <w:ind w:left="0" w:firstLine="567"/>
        <w:jc w:val="both"/>
        <w:rPr>
          <w:lang w:val="ro-RO"/>
        </w:rPr>
      </w:pPr>
      <w:r>
        <w:rPr>
          <w:lang w:val="ro-RO"/>
        </w:rPr>
        <w:t xml:space="preserve"> </w:t>
      </w:r>
      <w:r w:rsidR="00B57134" w:rsidRPr="005A38E8">
        <w:rPr>
          <w:lang w:val="ro-RO"/>
        </w:rPr>
        <w:t>la poziția 28</w:t>
      </w:r>
      <w:r w:rsidR="0091041E" w:rsidRPr="00337F4A">
        <w:rPr>
          <w:lang w:val="ro-RO"/>
        </w:rPr>
        <w:t xml:space="preserve">, </w:t>
      </w:r>
      <w:r w:rsidR="00F82123" w:rsidRPr="005A38E8">
        <w:rPr>
          <w:lang w:val="ro-RO"/>
        </w:rPr>
        <w:t xml:space="preserve">în coloana „Denumirea instanței” textul </w:t>
      </w:r>
      <w:r w:rsidR="00F82123" w:rsidRPr="00337F4A">
        <w:rPr>
          <w:lang w:val="ro-RO"/>
        </w:rPr>
        <w:t>„Cotele de participare în capitalul persoanelor juridice” se substituie cu textul „Dețineri în capitalul întreprinderii”</w:t>
      </w:r>
      <w:r w:rsidR="0091041E" w:rsidRPr="00337F4A">
        <w:rPr>
          <w:lang w:val="ro-RO"/>
        </w:rPr>
        <w:t xml:space="preserve"> iar </w:t>
      </w:r>
      <w:r w:rsidR="00F82123" w:rsidRPr="00337F4A">
        <w:rPr>
          <w:lang w:val="ro-RO"/>
        </w:rPr>
        <w:t>în coloana</w:t>
      </w:r>
      <w:r w:rsidR="00F82123" w:rsidRPr="005A38E8">
        <w:rPr>
          <w:lang w:val="ro-RO"/>
        </w:rPr>
        <w:t xml:space="preserve"> „Rapoartele/tabelele incluse în instanță” sintagma „persoanelor juridice” se substituie prin cuvântul „întreprinderii”;</w:t>
      </w:r>
    </w:p>
    <w:p w14:paraId="5BE4F170" w14:textId="69E35F8C" w:rsidR="0091041E" w:rsidRPr="00337F4A" w:rsidRDefault="00370980" w:rsidP="004B60DF">
      <w:pPr>
        <w:pStyle w:val="ListParagraph"/>
        <w:numPr>
          <w:ilvl w:val="3"/>
          <w:numId w:val="41"/>
        </w:numPr>
        <w:spacing w:line="276" w:lineRule="auto"/>
        <w:ind w:hanging="153"/>
        <w:jc w:val="both"/>
        <w:rPr>
          <w:lang w:val="ro-RO"/>
        </w:rPr>
      </w:pPr>
      <w:r>
        <w:rPr>
          <w:lang w:val="ro-RO"/>
        </w:rPr>
        <w:t xml:space="preserve"> </w:t>
      </w:r>
      <w:r w:rsidR="00F55173" w:rsidRPr="00337F4A">
        <w:rPr>
          <w:lang w:val="ro-RO"/>
        </w:rPr>
        <w:t xml:space="preserve">se completează cu pozițiile </w:t>
      </w:r>
      <w:r w:rsidR="00BF45DD">
        <w:rPr>
          <w:lang w:val="ro-RO"/>
        </w:rPr>
        <w:t xml:space="preserve"> 80</w:t>
      </w:r>
      <w:r w:rsidR="00BF45DD" w:rsidRPr="00382A46">
        <w:rPr>
          <w:vertAlign w:val="superscript"/>
          <w:lang w:val="ro-RO"/>
        </w:rPr>
        <w:t>1</w:t>
      </w:r>
      <w:r w:rsidR="00BF45DD">
        <w:rPr>
          <w:lang w:val="ro-RO"/>
        </w:rPr>
        <w:t>, 80</w:t>
      </w:r>
      <w:r w:rsidR="00BF45DD" w:rsidRPr="00382A46">
        <w:rPr>
          <w:vertAlign w:val="superscript"/>
          <w:lang w:val="ro-RO"/>
        </w:rPr>
        <w:t>2</w:t>
      </w:r>
      <w:r w:rsidR="00BF45DD">
        <w:rPr>
          <w:lang w:val="ro-RO"/>
        </w:rPr>
        <w:t xml:space="preserve"> și </w:t>
      </w:r>
      <w:r w:rsidR="00F55173" w:rsidRPr="00337F4A">
        <w:rPr>
          <w:lang w:val="ro-RO"/>
        </w:rPr>
        <w:t>84-</w:t>
      </w:r>
      <w:r w:rsidR="007D5792" w:rsidRPr="00337F4A">
        <w:rPr>
          <w:lang w:val="ro-RO"/>
        </w:rPr>
        <w:t>1</w:t>
      </w:r>
      <w:r w:rsidR="007D5792">
        <w:rPr>
          <w:lang w:val="ro-RO"/>
        </w:rPr>
        <w:t>11</w:t>
      </w:r>
      <w:r w:rsidR="00F55173" w:rsidRPr="00337F4A">
        <w:rPr>
          <w:lang w:val="ro-RO"/>
        </w:rPr>
        <w:t>:</w:t>
      </w:r>
    </w:p>
    <w:p w14:paraId="6F372C19" w14:textId="715DC594" w:rsidR="003C06DE" w:rsidRPr="00337F4A" w:rsidRDefault="003C06DE" w:rsidP="00F8255C">
      <w:pPr>
        <w:spacing w:after="160" w:line="259" w:lineRule="auto"/>
        <w:ind w:firstLine="360"/>
        <w:rPr>
          <w:rFonts w:eastAsia="Times New Roman"/>
          <w:lang w:val="ro-RO"/>
        </w:rPr>
      </w:pPr>
      <w:r w:rsidRPr="00337F4A">
        <w:rPr>
          <w:lang w:val="ro-RO"/>
        </w:rPr>
        <w:br w:type="page"/>
      </w:r>
    </w:p>
    <w:p w14:paraId="065DE69C" w14:textId="77777777" w:rsidR="00CA6C5A" w:rsidRPr="00337F4A" w:rsidRDefault="00CA6C5A" w:rsidP="00F8255C">
      <w:pPr>
        <w:ind w:firstLine="360"/>
        <w:jc w:val="center"/>
        <w:rPr>
          <w:rFonts w:eastAsia="Times New Roman"/>
          <w:lang w:val="ro-RO" w:eastAsia="ro-MD"/>
        </w:rPr>
        <w:sectPr w:rsidR="00CA6C5A" w:rsidRPr="00337F4A" w:rsidSect="00382A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525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059"/>
        <w:gridCol w:w="1356"/>
        <w:gridCol w:w="1564"/>
        <w:gridCol w:w="1132"/>
        <w:gridCol w:w="1677"/>
        <w:gridCol w:w="1732"/>
        <w:gridCol w:w="2816"/>
        <w:gridCol w:w="3391"/>
      </w:tblGrid>
      <w:tr w:rsidR="003426DA" w:rsidRPr="00337F4A" w14:paraId="0C45FB86" w14:textId="77777777" w:rsidTr="00382A46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2A1EFC" w14:textId="11C1FE7D" w:rsidR="003426DA" w:rsidRPr="00337F4A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eastAsia="ro-MD"/>
              </w:rPr>
              <w:lastRenderedPageBreak/>
              <w:t>80</w:t>
            </w:r>
            <w:r w:rsidRPr="00017A13">
              <w:rPr>
                <w:rFonts w:eastAsia="Times New Roman"/>
                <w:vertAlign w:val="superscript"/>
                <w:lang w:eastAsia="ro-MD"/>
              </w:rPr>
              <w:t>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BF37B4B" w14:textId="7E7C8F23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9A58F4">
              <w:rPr>
                <w:rFonts w:eastAsia="Times New Roman"/>
                <w:lang w:eastAsia="ro-MD"/>
              </w:rPr>
              <w:t>COREP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CDCC9A" w14:textId="235C081F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eastAsia="ro-MD"/>
              </w:rPr>
              <w:t>COR_AMM_ML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02F206A" w14:textId="1CB04CCE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proofErr w:type="spellStart"/>
            <w:r>
              <w:rPr>
                <w:rFonts w:eastAsia="Times New Roman"/>
                <w:lang w:eastAsia="ro-MD"/>
              </w:rPr>
              <w:t>CoRep</w:t>
            </w:r>
            <w:proofErr w:type="spellEnd"/>
            <w:r>
              <w:rPr>
                <w:rFonts w:eastAsia="Times New Roman"/>
                <w:lang w:eastAsia="ro-MD"/>
              </w:rPr>
              <w:t xml:space="preserve"> AMM ML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AFB4EA3" w14:textId="327F2F83" w:rsidR="003426DA" w:rsidRPr="00337F4A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eastAsia="ro-MD"/>
              </w:rPr>
              <w:t>lunar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048BAC" w14:textId="544E82AA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9A58F4">
              <w:rPr>
                <w:rFonts w:eastAsia="Times New Roman"/>
                <w:lang w:eastAsia="ro-MD"/>
              </w:rPr>
              <w:t xml:space="preserve">băncile </w:t>
            </w:r>
            <w:proofErr w:type="spellStart"/>
            <w:r w:rsidRPr="009A58F4">
              <w:rPr>
                <w:rFonts w:eastAsia="Times New Roman"/>
                <w:lang w:eastAsia="ro-MD"/>
              </w:rPr>
              <w:t>licenţiate</w:t>
            </w:r>
            <w:proofErr w:type="spellEnd"/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76F11C2" w14:textId="62F797EF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9A58F4">
              <w:rPr>
                <w:rFonts w:eastAsia="Times New Roman"/>
                <w:lang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093C3C" w14:textId="629F94AC" w:rsidR="003426DA" w:rsidRPr="00337F4A" w:rsidRDefault="003426DA" w:rsidP="003426DA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382A46">
              <w:rPr>
                <w:lang w:val="pt-PT" w:eastAsia="ro-MD"/>
              </w:rPr>
              <w:t>Instrucţiunea cu privire la prezentarea de către bănci a rapoartelor COREP în scopuri de supraveghere (anexa nr.11</w:t>
            </w:r>
            <w:r w:rsidRPr="00382A46">
              <w:rPr>
                <w:vertAlign w:val="superscript"/>
                <w:lang w:val="pt-PT" w:eastAsia="ro-MD"/>
              </w:rPr>
              <w:t>1</w:t>
            </w:r>
            <w:r w:rsidRPr="00382A46">
              <w:rPr>
                <w:lang w:val="pt-PT" w:eastAsia="ro-MD"/>
              </w:rPr>
              <w:t>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C588DD6" w14:textId="3DA06649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eastAsia="ro-MD"/>
              </w:rPr>
              <w:t xml:space="preserve">C66.01 Benzi de </w:t>
            </w:r>
            <w:proofErr w:type="spellStart"/>
            <w:r>
              <w:rPr>
                <w:rFonts w:eastAsia="Times New Roman"/>
                <w:lang w:eastAsia="ro-MD"/>
              </w:rPr>
              <w:t>scadenț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ă (COR AMM ML) </w:t>
            </w:r>
            <w:r w:rsidRPr="009A58F4">
              <w:rPr>
                <w:rFonts w:eastAsia="Times New Roman"/>
                <w:lang w:eastAsia="ro-MD"/>
              </w:rPr>
              <w:t>(anexa nr.1</w:t>
            </w:r>
            <w:r>
              <w:rPr>
                <w:rFonts w:eastAsia="Times New Roman"/>
                <w:lang w:eastAsia="ro-MD"/>
              </w:rPr>
              <w:t>1</w:t>
            </w:r>
            <w:r w:rsidRPr="00017A13">
              <w:rPr>
                <w:rFonts w:eastAsia="Times New Roman"/>
                <w:vertAlign w:val="superscript"/>
                <w:lang w:eastAsia="ro-MD"/>
              </w:rPr>
              <w:t>1</w:t>
            </w:r>
            <w:r w:rsidRPr="009A58F4">
              <w:rPr>
                <w:rFonts w:eastAsia="Times New Roman"/>
                <w:lang w:eastAsia="ro-MD"/>
              </w:rPr>
              <w:t>)</w:t>
            </w:r>
          </w:p>
        </w:tc>
      </w:tr>
      <w:tr w:rsidR="003426DA" w:rsidRPr="00337F4A" w14:paraId="588BC99D" w14:textId="77777777" w:rsidTr="00382A46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28AFA4" w14:textId="5A4CB1D0" w:rsidR="003426DA" w:rsidRPr="00337F4A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eastAsia="ro-MD"/>
              </w:rPr>
              <w:t>80</w:t>
            </w:r>
            <w:r w:rsidRPr="00017A13">
              <w:rPr>
                <w:rFonts w:eastAsia="Times New Roman"/>
                <w:vertAlign w:val="superscript"/>
                <w:lang w:eastAsia="ro-MD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E71552" w14:textId="77235343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9A58F4">
              <w:rPr>
                <w:rFonts w:eastAsia="Times New Roman"/>
                <w:lang w:eastAsia="ro-MD"/>
              </w:rPr>
              <w:t>COREP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29D69D" w14:textId="53E0C392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eastAsia="ro-MD"/>
              </w:rPr>
              <w:t>COR_AMM_ML_C_A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D1B0733" w14:textId="70BB9087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proofErr w:type="spellStart"/>
            <w:r>
              <w:rPr>
                <w:rFonts w:eastAsia="Times New Roman"/>
                <w:lang w:eastAsia="ro-MD"/>
              </w:rPr>
              <w:t>CoRep</w:t>
            </w:r>
            <w:proofErr w:type="spellEnd"/>
            <w:r>
              <w:rPr>
                <w:rFonts w:eastAsia="Times New Roman"/>
                <w:lang w:eastAsia="ro-MD"/>
              </w:rPr>
              <w:t xml:space="preserve"> AMM ML Consolidat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EFF1EB" w14:textId="66A478BC" w:rsidR="003426DA" w:rsidRPr="00337F4A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eastAsia="ro-MD"/>
              </w:rPr>
              <w:t>anual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020754D" w14:textId="4EB8C180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9A58F4">
              <w:rPr>
                <w:rFonts w:eastAsia="Times New Roman"/>
                <w:lang w:eastAsia="ro-MD"/>
              </w:rPr>
              <w:t xml:space="preserve">băncile </w:t>
            </w:r>
            <w:proofErr w:type="spellStart"/>
            <w:r w:rsidRPr="009A58F4">
              <w:rPr>
                <w:rFonts w:eastAsia="Times New Roman"/>
                <w:lang w:eastAsia="ro-MD"/>
              </w:rPr>
              <w:t>licenţiate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40D5E7" w14:textId="20E43959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9A58F4">
              <w:rPr>
                <w:rFonts w:eastAsia="Times New Roman"/>
                <w:lang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5AD678" w14:textId="661C530E" w:rsidR="003426DA" w:rsidRPr="00337F4A" w:rsidRDefault="003426DA" w:rsidP="003426DA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382A46">
              <w:rPr>
                <w:lang w:val="pt-PT" w:eastAsia="ro-MD"/>
              </w:rPr>
              <w:t>Instrucţiunea cu privire la prezentarea de către bănci a rapoartelor COREP în scopuri de supraveghere (anexa nr.11</w:t>
            </w:r>
            <w:r w:rsidRPr="00382A46">
              <w:rPr>
                <w:vertAlign w:val="superscript"/>
                <w:lang w:val="pt-PT" w:eastAsia="ro-MD"/>
              </w:rPr>
              <w:t>1</w:t>
            </w:r>
            <w:r w:rsidRPr="00382A46">
              <w:rPr>
                <w:lang w:val="pt-PT" w:eastAsia="ro-MD"/>
              </w:rPr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E2B022" w14:textId="54CA02A6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eastAsia="ro-MD"/>
              </w:rPr>
              <w:t xml:space="preserve">C66.01 Benzi de </w:t>
            </w:r>
            <w:proofErr w:type="spellStart"/>
            <w:r>
              <w:rPr>
                <w:rFonts w:eastAsia="Times New Roman"/>
                <w:lang w:eastAsia="ro-MD"/>
              </w:rPr>
              <w:t>scadenț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ă (COR AMM ML) </w:t>
            </w:r>
            <w:r w:rsidRPr="009A58F4">
              <w:rPr>
                <w:rFonts w:eastAsia="Times New Roman"/>
                <w:lang w:eastAsia="ro-MD"/>
              </w:rPr>
              <w:t>(anexa nr.1</w:t>
            </w:r>
            <w:r>
              <w:rPr>
                <w:rFonts w:eastAsia="Times New Roman"/>
                <w:lang w:eastAsia="ro-MD"/>
              </w:rPr>
              <w:t>1</w:t>
            </w:r>
            <w:r w:rsidRPr="00017A13">
              <w:rPr>
                <w:rFonts w:eastAsia="Times New Roman"/>
                <w:vertAlign w:val="superscript"/>
                <w:lang w:eastAsia="ro-MD"/>
              </w:rPr>
              <w:t>1</w:t>
            </w:r>
            <w:r w:rsidRPr="009A58F4">
              <w:rPr>
                <w:rFonts w:eastAsia="Times New Roman"/>
                <w:lang w:eastAsia="ro-MD"/>
              </w:rPr>
              <w:t>)</w:t>
            </w:r>
          </w:p>
        </w:tc>
      </w:tr>
      <w:tr w:rsidR="00164893" w:rsidRPr="00337F4A" w14:paraId="2694F0C0" w14:textId="77777777" w:rsidTr="00382A46">
        <w:trPr>
          <w:jc w:val="center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E7A1F8" w14:textId="77777777" w:rsidR="00164893" w:rsidRPr="00337F4A" w:rsidRDefault="00164893" w:rsidP="003426DA">
            <w:pPr>
              <w:jc w:val="center"/>
              <w:rPr>
                <w:rFonts w:eastAsia="Times New Roman"/>
                <w:lang w:val="ro-RO" w:eastAsia="ro-MD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3D78D6" w14:textId="77777777" w:rsidR="00164893" w:rsidRPr="00337F4A" w:rsidRDefault="00164893" w:rsidP="003426DA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351B077" w14:textId="77777777" w:rsidR="00164893" w:rsidRPr="00337F4A" w:rsidRDefault="00164893" w:rsidP="003426DA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EB8F7D" w14:textId="77777777" w:rsidR="00164893" w:rsidRPr="00337F4A" w:rsidRDefault="00164893" w:rsidP="003426DA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EC621C" w14:textId="77777777" w:rsidR="00164893" w:rsidRPr="00337F4A" w:rsidRDefault="00164893" w:rsidP="003426DA">
            <w:pPr>
              <w:jc w:val="center"/>
              <w:rPr>
                <w:rFonts w:eastAsia="Times New Roman"/>
                <w:lang w:val="ro-RO" w:eastAsia="ro-MD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97CB2C0" w14:textId="77777777" w:rsidR="00164893" w:rsidRPr="00337F4A" w:rsidRDefault="00164893" w:rsidP="003426DA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FE23CC6" w14:textId="77777777" w:rsidR="00164893" w:rsidRPr="00337F4A" w:rsidRDefault="00164893" w:rsidP="003426DA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5426DA5" w14:textId="77777777" w:rsidR="00164893" w:rsidRPr="00337F4A" w:rsidRDefault="00164893" w:rsidP="003426DA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751435" w14:textId="77777777" w:rsidR="00164893" w:rsidRPr="00337F4A" w:rsidRDefault="00164893" w:rsidP="003426DA">
            <w:pPr>
              <w:rPr>
                <w:rFonts w:eastAsia="Times New Roman"/>
                <w:lang w:val="ro-RO" w:eastAsia="ro-MD"/>
              </w:rPr>
            </w:pPr>
          </w:p>
        </w:tc>
      </w:tr>
      <w:tr w:rsidR="003426DA" w:rsidRPr="00337F4A" w14:paraId="62CF45C5" w14:textId="77777777" w:rsidTr="00382A46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8859AA" w14:textId="2969960D" w:rsidR="003426DA" w:rsidRPr="00337F4A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bookmarkStart w:id="15" w:name="_Hlk152161982"/>
            <w:r w:rsidRPr="00337F4A">
              <w:rPr>
                <w:rFonts w:eastAsia="Times New Roman"/>
                <w:lang w:val="ro-RO" w:eastAsia="ro-MD"/>
              </w:rPr>
              <w:t>84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EE4BFF9" w14:textId="0BFD359E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337F4A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8A59EE8" w14:textId="2B6A5B1E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337F4A">
              <w:rPr>
                <w:rFonts w:eastAsia="Times New Roman"/>
                <w:lang w:val="ro-RO" w:eastAsia="ro-MD"/>
              </w:rPr>
              <w:t>IA RSP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4CDEFE4" w14:textId="3F6F2412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337F4A">
              <w:rPr>
                <w:rFonts w:eastAsia="Times New Roman"/>
                <w:lang w:val="ro-RO" w:eastAsia="ro-MD"/>
              </w:rPr>
              <w:t>IA RSP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B78CDD9" w14:textId="609F649F" w:rsidR="003426DA" w:rsidRPr="00337F4A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 w:rsidRPr="00337F4A">
              <w:rPr>
                <w:rFonts w:eastAsia="Times New Roman"/>
                <w:lang w:val="ro-RO" w:eastAsia="ro-MD"/>
              </w:rPr>
              <w:t>anual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7DFDBC" w14:textId="56591AA9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337F4A">
              <w:rPr>
                <w:rFonts w:eastAsia="Times New Roman"/>
                <w:lang w:val="ro-RO" w:eastAsia="ro-MD"/>
              </w:rPr>
              <w:t>Intermediarii în asigurări și/sau reasigurări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07BF188" w14:textId="5427DEB6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337F4A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EDDF40" w14:textId="4105AEA4" w:rsidR="003426DA" w:rsidRPr="00337F4A" w:rsidRDefault="003426DA" w:rsidP="003426DA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337F4A">
              <w:rPr>
                <w:lang w:val="ro-RO"/>
              </w:rPr>
              <w:t>Hotărârea Comisiei Naționale a Pieței Financiare nr.45/5/2009 cu privire la aprobarea formei și conținutului rapoartelor specializate ale intermediarilor în asigurări și/sau reasigurări (Monitorul Oficial al Republicii Moldova, 2009, nr.197-200, art.877) (anexa nr.1)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99A62DA" w14:textId="64586277" w:rsidR="003426DA" w:rsidRPr="00337F4A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337F4A">
              <w:rPr>
                <w:rFonts w:eastAsia="Times New Roman"/>
                <w:lang w:val="ro-RO" w:eastAsia="ro-MD"/>
              </w:rPr>
              <w:t>Registrul subagenților, personalului propriu cu atribuții de intermediere și asistenților în brokeraj a intermediarului în asigurări și/sau reasigurări (anexa nr.1)</w:t>
            </w:r>
          </w:p>
        </w:tc>
      </w:tr>
      <w:tr w:rsidR="003426DA" w:rsidRPr="007503BF" w14:paraId="2C0F6182" w14:textId="77777777" w:rsidTr="00382A46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CE18D05" w14:textId="6FA8A591" w:rsidR="003426DA" w:rsidRPr="007503BF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85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EBC433" w14:textId="659C191D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D281A9" w14:textId="721ABAB4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IA SF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C525E1" w14:textId="6A07FA04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IA SF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4B21BF" w14:textId="001B15A0" w:rsidR="003426DA" w:rsidRPr="007503BF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trimestrial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F5A83A4" w14:textId="365F3585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Intermediarii în asigurări și/sau reasigurări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78E9BE" w14:textId="737DEF86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E325D0" w14:textId="77777777" w:rsidR="003426DA" w:rsidRPr="007503BF" w:rsidRDefault="003426DA" w:rsidP="003426DA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7503BF">
              <w:rPr>
                <w:lang w:val="ro-RO"/>
              </w:rPr>
              <w:t xml:space="preserve">Hotărârea Comisiei Naționale a Pieței Financiare cu privire la aprobarea formei și conținutului rapoartelor specializate ale intermediarilor în asigurări </w:t>
            </w:r>
            <w:r w:rsidRPr="007503BF">
              <w:rPr>
                <w:lang w:val="ro-RO"/>
              </w:rPr>
              <w:lastRenderedPageBreak/>
              <w:t>și/sau reasigurări (anexele nr.2-4)</w:t>
            </w:r>
          </w:p>
          <w:p w14:paraId="3FABFC95" w14:textId="77777777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72E7E58" w14:textId="73A769CB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lastRenderedPageBreak/>
              <w:t>Raportul privind activitatea de bază a intermediarului în asigurări și/sau reasigurări (anexa nr.2)</w:t>
            </w:r>
          </w:p>
          <w:p w14:paraId="2DB1D162" w14:textId="78927BAA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 privind activitatea intermediarului în asigurări și/sau reasigurări prin personal propriu, asistenți în brokeraj și/sau subagenți (anexa nr.3)</w:t>
            </w:r>
          </w:p>
          <w:p w14:paraId="4405C2CF" w14:textId="269F30C1" w:rsidR="003426DA" w:rsidRPr="007503BF" w:rsidRDefault="003426DA" w:rsidP="003426DA">
            <w:pPr>
              <w:pStyle w:val="cn"/>
              <w:spacing w:before="0" w:beforeAutospacing="0" w:after="0" w:afterAutospacing="0"/>
              <w:rPr>
                <w:sz w:val="22"/>
                <w:szCs w:val="22"/>
                <w:lang w:val="ro-RO"/>
              </w:rPr>
            </w:pPr>
            <w:r w:rsidRPr="007503BF">
              <w:rPr>
                <w:lang w:val="ro-RO"/>
              </w:rPr>
              <w:lastRenderedPageBreak/>
              <w:t>Raportul privind datoriile intermediarului în asigurări și/sau reasigurări către asigurători (anexa nr.4)</w:t>
            </w:r>
          </w:p>
        </w:tc>
      </w:tr>
      <w:tr w:rsidR="003426DA" w:rsidRPr="007503BF" w14:paraId="5103149E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5D0BBA2" w14:textId="4105BBE8" w:rsidR="003426DA" w:rsidRPr="007503BF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lastRenderedPageBreak/>
              <w:t>86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3BB061B" w14:textId="72DBC4B6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AEÎ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E5DB87" w14:textId="1EBDDEF4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AEI A Trimestrial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52399D7" w14:textId="37D041F1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AEI A Trimestrial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1D1B81B" w14:textId="427ADAF5" w:rsidR="003426DA" w:rsidRPr="007503BF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trimestrial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37D0C2A" w14:textId="77777777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Asociații de economii și împrumut </w:t>
            </w:r>
          </w:p>
          <w:p w14:paraId="0590A5F9" w14:textId="2F4870C4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(licența de categoria A)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93C03D9" w14:textId="7F58E1A8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6C4CC3" w14:textId="62D1CD90" w:rsidR="003426DA" w:rsidRPr="007503BF" w:rsidRDefault="003426DA" w:rsidP="003426DA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7503BF">
              <w:rPr>
                <w:lang w:val="ro-RO" w:eastAsia="ro-MD"/>
              </w:rPr>
              <w:t>Instrucțiunea cu privire la raportarea asociațiilor de economii și împrumut, aprobată prin Hotărârea Comisiei Naționale a Pieței Financiare nr.54/3/2017 (Monitorul Oficial al Republicii Moldova, 2017, 451-463, art.2316) (anexele 1-6, 9, 10, 12-14)</w:t>
            </w:r>
            <w:r w:rsidRPr="007503BF">
              <w:rPr>
                <w:lang w:val="ro-RO" w:eastAsia="ro-MD"/>
              </w:rPr>
              <w:br/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675150C" w14:textId="441E29AA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Foaia de titlu (Anexa nr.1)</w:t>
            </w:r>
          </w:p>
          <w:p w14:paraId="14B55A02" w14:textId="54313885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Raportul privind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situaţia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financiară (anexa nr.2)</w:t>
            </w:r>
          </w:p>
          <w:p w14:paraId="0C4AC0BE" w14:textId="7F523761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Raportul privind veniturile și cheltuielile (anexa nr.3)</w:t>
            </w:r>
          </w:p>
          <w:p w14:paraId="2AD0ED7A" w14:textId="1023881E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Raportul privind capitalul (anexa nr.4)</w:t>
            </w:r>
          </w:p>
          <w:p w14:paraId="2C331A7E" w14:textId="3E298E63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Raportul privind fluxul numerarului (anexa nr.5)</w:t>
            </w:r>
          </w:p>
          <w:p w14:paraId="3F8C1DF4" w14:textId="5B483B3D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Raportul privind clasificarea împrumuturilor acordate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a dobânzilor aferente pentru constituirea provizioanelor (anexa nr.6)</w:t>
            </w:r>
          </w:p>
          <w:p w14:paraId="38EFE2C1" w14:textId="7D1573BD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Raportul privind elementele contabile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extrabilanțiere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(anexa nr.9)</w:t>
            </w:r>
          </w:p>
          <w:p w14:paraId="65DADBE7" w14:textId="3B061F08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Raportul privind datele generale (anexa nr.10)</w:t>
            </w:r>
          </w:p>
          <w:p w14:paraId="7E37315A" w14:textId="74E15C08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Raportul privind expunerea la riscul de lichiditate (anexa nr.12)</w:t>
            </w:r>
          </w:p>
          <w:p w14:paraId="0BC99FC6" w14:textId="70372353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Raportul privind clasificarea activelor, datoriilor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capitalului propriu pe sectoare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instituţionale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, pe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rezidenţi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/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nerezidenţi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în monedă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naţională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/valută străină (anexa nr.13)Raportul privind </w:t>
            </w:r>
            <w:r w:rsidRPr="007503BF">
              <w:rPr>
                <w:rFonts w:eastAsia="Times New Roman"/>
                <w:lang w:val="ro-RO" w:eastAsia="ro-MD"/>
              </w:rPr>
              <w:lastRenderedPageBreak/>
              <w:t xml:space="preserve">clasificarea activelor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obligaţiilor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financiare pe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instituţii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(anexa nr.14)</w:t>
            </w:r>
          </w:p>
        </w:tc>
      </w:tr>
      <w:tr w:rsidR="003426DA" w:rsidRPr="00696403" w14:paraId="6192B905" w14:textId="77777777" w:rsidTr="00D0302E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608D9A" w14:textId="75BB6591" w:rsidR="003426DA" w:rsidRPr="007503BF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lastRenderedPageBreak/>
              <w:t>87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252E21" w14:textId="2EBEAC4F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AEÎ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677204" w14:textId="351875F7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AEI B Lunar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8DEEF9" w14:textId="48D67A43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AEI B Lunar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73F9CD0" w14:textId="04694DCD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lunar</w:t>
            </w:r>
          </w:p>
          <w:p w14:paraId="3515B966" w14:textId="77777777" w:rsidR="003426DA" w:rsidRPr="007503BF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E6F9AD8" w14:textId="77777777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Asociații de economii și împrumut </w:t>
            </w:r>
          </w:p>
          <w:p w14:paraId="1D7649F6" w14:textId="7E0A9A7F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(licența de categoria B, asociația centrală)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E0015EB" w14:textId="76962184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55B103" w14:textId="61EE9834" w:rsidR="003426DA" w:rsidRPr="00696403" w:rsidRDefault="003426DA" w:rsidP="003426DA">
            <w:pPr>
              <w:pStyle w:val="NormalWeb"/>
              <w:spacing w:before="0" w:beforeAutospacing="0" w:after="0" w:afterAutospacing="0"/>
              <w:jc w:val="both"/>
              <w:rPr>
                <w:lang w:val="ro-RO"/>
              </w:rPr>
            </w:pPr>
            <w:r w:rsidRPr="007503BF">
              <w:rPr>
                <w:lang w:val="ro-RO" w:eastAsia="ro-MD"/>
              </w:rPr>
              <w:t xml:space="preserve">Instrucțiunea cu privire la raportarea asociațiilor de economii și împrumut (anexele 1-12) 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3F39052" w14:textId="0E530EEE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Foaia de titlu (Anexa nr.1)</w:t>
            </w:r>
          </w:p>
          <w:p w14:paraId="6A5634A5" w14:textId="237089F8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situaţia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financiară (anexa nr.2)</w:t>
            </w:r>
          </w:p>
          <w:p w14:paraId="082EA0FF" w14:textId="2F69A9D7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Raportul privind veniturile și cheltuielile (anexa nr.3)</w:t>
            </w:r>
          </w:p>
          <w:p w14:paraId="7FE2FE32" w14:textId="03A5602C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Raportul privind capitalul (anexa nr.4)</w:t>
            </w:r>
          </w:p>
          <w:p w14:paraId="423EC0C5" w14:textId="7A671AE6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Raportul privind fluxul numerarului (anexa nr.5)</w:t>
            </w:r>
          </w:p>
          <w:p w14:paraId="7C762219" w14:textId="607FDC1E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clasificarea împrumuturilor acordate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a dobânzilor aferente pentru constituirea provizioanelor (anexa nr.6)</w:t>
            </w:r>
          </w:p>
          <w:p w14:paraId="5B0725CC" w14:textId="242C60C3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prezentarea unor elemente ale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situaţiei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financiare (anexa nr.7)</w:t>
            </w:r>
          </w:p>
          <w:p w14:paraId="3C41E1BF" w14:textId="5588E7F7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prezentarea unor elemente ale veniturilor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cheltuielilor (anexa nr.8)</w:t>
            </w:r>
          </w:p>
          <w:p w14:paraId="467E1FAC" w14:textId="0037C161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elementele contabile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extrabilanţiere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(anexa nr.9)</w:t>
            </w:r>
          </w:p>
          <w:p w14:paraId="6F91E7AB" w14:textId="76026720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Raportul privind datele generale (anexa nr.10)</w:t>
            </w:r>
          </w:p>
          <w:p w14:paraId="4B717153" w14:textId="553B1C01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clasificarea împrumuturilor acordate pe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direcţii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de utilizare (anexa nr.11)</w:t>
            </w:r>
          </w:p>
          <w:p w14:paraId="2674955C" w14:textId="57AE3172" w:rsidR="003426DA" w:rsidRPr="00696403" w:rsidRDefault="003426DA" w:rsidP="003426DA">
            <w:pPr>
              <w:tabs>
                <w:tab w:val="left" w:pos="419"/>
              </w:tabs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lastRenderedPageBreak/>
              <w:t>Raportul privind expunerea la riscul de lichiditate (anexa nr.12)</w:t>
            </w:r>
          </w:p>
        </w:tc>
      </w:tr>
      <w:tr w:rsidR="003426DA" w:rsidRPr="00696403" w14:paraId="24D98A3A" w14:textId="77777777" w:rsidTr="00D0302E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46E4A5" w14:textId="68169A1B" w:rsidR="003426DA" w:rsidRPr="00696403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lastRenderedPageBreak/>
              <w:t>88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BE5953" w14:textId="7E52AFFA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AEÎ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756E49" w14:textId="4B3BAE96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AEI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14DC02" w14:textId="0EEE3B28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AEI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5490B60" w14:textId="484BDCE9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A6207A5" w14:textId="77777777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Asociații de economii și împrumut </w:t>
            </w:r>
          </w:p>
          <w:p w14:paraId="4E4622C3" w14:textId="72439319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(licența de categoria B, asociația centrală, licența de categoria A- (doar pentru trimestrul IV))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3B07837" w14:textId="5D9ECF7E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400CCF7" w14:textId="43C95F6B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lang w:val="ro-RO" w:eastAsia="ro-MD"/>
              </w:rPr>
              <w:t xml:space="preserve">Instrucțiunea cu privire la raportarea asociațiilor de economii și împrumut (anexele 1-14)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A8A5D0" w14:textId="50ABCF82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Foaia de titlu (Anexa nr.1)</w:t>
            </w:r>
          </w:p>
          <w:p w14:paraId="7C3853E6" w14:textId="6A449A0C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situaţia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financiară (anexa nr.2)</w:t>
            </w:r>
          </w:p>
          <w:p w14:paraId="17F7A32E" w14:textId="64D6A6CF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Raportul privind veniturile și cheltuielile (anexa nr.3)</w:t>
            </w:r>
          </w:p>
          <w:p w14:paraId="123BE2AC" w14:textId="19CA34FC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Raportul privind capitalul (anexa nr.4)</w:t>
            </w:r>
          </w:p>
          <w:p w14:paraId="1E73947D" w14:textId="7D5F5C98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Raportul privind fluxul numerarului (anexa nr.5)</w:t>
            </w:r>
          </w:p>
          <w:p w14:paraId="53143522" w14:textId="4E702423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clasificarea împrumuturilor acordate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a dobânzilor aferente pentru constituirea provizioanelor (anexa nr.6)</w:t>
            </w:r>
          </w:p>
          <w:p w14:paraId="49473C42" w14:textId="714C6518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prezentarea unor elemente ale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situaţiei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financiare (anexa nr.7)</w:t>
            </w:r>
          </w:p>
          <w:p w14:paraId="4CDF80D3" w14:textId="1ACF2F40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prezentarea unor elemente ale veniturilor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cheltuielilor (anexa nr.8)</w:t>
            </w:r>
          </w:p>
          <w:p w14:paraId="355DF81E" w14:textId="19546286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elementele contabile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extrabilanțiere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(anexa nr.9)</w:t>
            </w:r>
          </w:p>
          <w:p w14:paraId="71046C17" w14:textId="555471F7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Raportul privind datele generale (anexa nr.10)</w:t>
            </w:r>
          </w:p>
          <w:p w14:paraId="51B39C59" w14:textId="23A4EEEB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Raportul privind clasificarea împrumuturilor acordate pe direcții de utilizare (anexa nr.11)</w:t>
            </w:r>
          </w:p>
          <w:p w14:paraId="7281F50B" w14:textId="096E6D37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lastRenderedPageBreak/>
              <w:t>Raportul privind expunerea la riscul de lichiditate (anexa nr.12)</w:t>
            </w:r>
          </w:p>
          <w:p w14:paraId="7EA2AAB7" w14:textId="6C60812A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clasificarea activelor, datoriilor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capitalului propriu pe sectoare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instituţionale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, pe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rezidenţi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>/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nerezidenţi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în monedă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naţională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>/valută străină (anexa nr.13)</w:t>
            </w:r>
          </w:p>
          <w:p w14:paraId="3DC40AA7" w14:textId="4D480C36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Raportul privind clasificarea activelor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obligaţiilor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financiare pe </w:t>
            </w:r>
            <w:proofErr w:type="spellStart"/>
            <w:r w:rsidRPr="00696403">
              <w:rPr>
                <w:rFonts w:eastAsia="Times New Roman"/>
                <w:lang w:val="ro-RO" w:eastAsia="ro-MD"/>
              </w:rPr>
              <w:t>instituţii</w:t>
            </w:r>
            <w:proofErr w:type="spellEnd"/>
            <w:r w:rsidRPr="00696403">
              <w:rPr>
                <w:rFonts w:eastAsia="Times New Roman"/>
                <w:lang w:val="ro-RO" w:eastAsia="ro-MD"/>
              </w:rPr>
              <w:t xml:space="preserve"> (anexa nr.14)</w:t>
            </w:r>
          </w:p>
        </w:tc>
      </w:tr>
      <w:tr w:rsidR="003426DA" w:rsidRPr="007503BF" w14:paraId="554B93F8" w14:textId="77777777" w:rsidTr="00D0302E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B4CC337" w14:textId="297407C3" w:rsidR="003426DA" w:rsidRPr="00696403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lastRenderedPageBreak/>
              <w:t>89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E9F868" w14:textId="1554F97A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OCN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CEBAF7B" w14:textId="12099077" w:rsidR="003426DA" w:rsidRPr="00696403" w:rsidRDefault="00F81849" w:rsidP="003426D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OCN 15/2024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8B7EBB4" w14:textId="13F7D244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OCN </w:t>
            </w:r>
            <w:r w:rsidR="008979A1">
              <w:rPr>
                <w:rFonts w:eastAsia="Times New Roman"/>
                <w:lang w:val="ro-RO" w:eastAsia="ro-MD"/>
              </w:rPr>
              <w:t>15/2024 t</w:t>
            </w:r>
            <w:r w:rsidRPr="00696403">
              <w:rPr>
                <w:rFonts w:eastAsia="Times New Roman"/>
                <w:lang w:val="ro-RO" w:eastAsia="ro-MD"/>
              </w:rPr>
              <w:t>rimestrial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DA597E" w14:textId="28BD8006" w:rsidR="003426DA" w:rsidRPr="00696403" w:rsidRDefault="003426DA" w:rsidP="003426DA">
            <w:pPr>
              <w:jc w:val="center"/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DA80F6A" w14:textId="08E5408C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Organizații de creditare nebancară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3642AC7" w14:textId="5DE9F095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4C9E2E4" w14:textId="58DDEDB2" w:rsidR="003426DA" w:rsidRPr="00696403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Instrucțiunea cu privire la raportarea organizațiilor de creditare nebancară, aprobată prin Hotărârea Comitetului executiv al Băncii Naționale a Moldovei nr.15/2024 (Monitorul Oficial al Republicii Moldova, 2024 nr.58-60, art.128) (anexele nr.1 </w:t>
            </w:r>
            <w:r w:rsidR="00F95765">
              <w:rPr>
                <w:rFonts w:eastAsia="Times New Roman"/>
                <w:lang w:val="ro-RO" w:eastAsia="ro-MD"/>
              </w:rPr>
              <w:t>–6, 8</w:t>
            </w:r>
            <w:r w:rsidRPr="00696403">
              <w:rPr>
                <w:rFonts w:eastAsia="Times New Roman"/>
                <w:lang w:val="ro-RO" w:eastAsia="ro-MD"/>
              </w:rPr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E0951E" w14:textId="77777777" w:rsidR="003426DA" w:rsidRPr="005A38E8" w:rsidRDefault="003426DA" w:rsidP="003426DA">
            <w:pPr>
              <w:jc w:val="both"/>
              <w:rPr>
                <w:rFonts w:eastAsia="Times New Roman"/>
                <w:lang w:val="ro-RO"/>
              </w:rPr>
            </w:pPr>
            <w:r w:rsidRPr="005A38E8">
              <w:rPr>
                <w:rFonts w:eastAsia="Times New Roman"/>
                <w:lang w:val="ro-RO"/>
              </w:rPr>
              <w:t>Detalii de identificare (anexa nr.1)</w:t>
            </w:r>
          </w:p>
          <w:p w14:paraId="49C57970" w14:textId="77777777" w:rsidR="003426DA" w:rsidRPr="005A38E8" w:rsidRDefault="003426DA" w:rsidP="003426DA">
            <w:pPr>
              <w:jc w:val="both"/>
              <w:rPr>
                <w:rFonts w:eastAsia="Times New Roman"/>
                <w:lang w:val="ro-RO"/>
              </w:rPr>
            </w:pPr>
            <w:r w:rsidRPr="005A38E8">
              <w:rPr>
                <w:rFonts w:eastAsia="Times New Roman"/>
                <w:lang w:val="ro-RO"/>
              </w:rPr>
              <w:t>Bilanțul specific (anexa nr.2);</w:t>
            </w:r>
          </w:p>
          <w:p w14:paraId="37D099DA" w14:textId="77777777" w:rsidR="003426DA" w:rsidRPr="005A38E8" w:rsidRDefault="003426DA" w:rsidP="003426DA">
            <w:pPr>
              <w:jc w:val="both"/>
              <w:rPr>
                <w:rFonts w:eastAsia="Times New Roman"/>
                <w:lang w:val="ro-RO"/>
              </w:rPr>
            </w:pPr>
            <w:r w:rsidRPr="005A38E8">
              <w:rPr>
                <w:rFonts w:eastAsia="Times New Roman"/>
                <w:lang w:val="ro-RO"/>
              </w:rPr>
              <w:t xml:space="preserve">Raportul privind venituri </w:t>
            </w:r>
            <w:proofErr w:type="spellStart"/>
            <w:r w:rsidRPr="005A38E8">
              <w:rPr>
                <w:rFonts w:eastAsia="Times New Roman"/>
                <w:lang w:val="ro-RO"/>
              </w:rPr>
              <w:t>şi</w:t>
            </w:r>
            <w:proofErr w:type="spellEnd"/>
            <w:r w:rsidRPr="005A38E8">
              <w:rPr>
                <w:rFonts w:eastAsia="Times New Roman"/>
                <w:lang w:val="ro-RO"/>
              </w:rPr>
              <w:t xml:space="preserve"> cheltuieli (anexa nr.3)</w:t>
            </w:r>
          </w:p>
          <w:p w14:paraId="58AB03B4" w14:textId="77777777" w:rsidR="003426DA" w:rsidRPr="005A38E8" w:rsidRDefault="003426DA" w:rsidP="003426DA">
            <w:pPr>
              <w:jc w:val="both"/>
              <w:rPr>
                <w:rFonts w:eastAsia="Times New Roman"/>
                <w:lang w:val="ro-RO"/>
              </w:rPr>
            </w:pPr>
            <w:r w:rsidRPr="005A38E8">
              <w:rPr>
                <w:rFonts w:eastAsia="Times New Roman"/>
                <w:lang w:val="ro-RO"/>
              </w:rPr>
              <w:t>Raportul privind capitalul propriu (anexa nr.4)</w:t>
            </w:r>
          </w:p>
          <w:p w14:paraId="33BA037B" w14:textId="77777777" w:rsidR="003426DA" w:rsidRPr="005A38E8" w:rsidRDefault="003426DA" w:rsidP="003426DA">
            <w:pPr>
              <w:jc w:val="both"/>
              <w:rPr>
                <w:rFonts w:eastAsia="Times New Roman"/>
                <w:lang w:val="ro-RO"/>
              </w:rPr>
            </w:pPr>
            <w:r w:rsidRPr="005A38E8">
              <w:rPr>
                <w:rFonts w:eastAsia="Times New Roman"/>
                <w:lang w:val="ro-RO"/>
              </w:rPr>
              <w:t>Raportul privind fluxurile de numerar (anexa nr.5)</w:t>
            </w:r>
          </w:p>
          <w:p w14:paraId="02245F87" w14:textId="77777777" w:rsidR="003426DA" w:rsidRPr="007503BF" w:rsidRDefault="003426DA" w:rsidP="003426DA">
            <w:pPr>
              <w:jc w:val="both"/>
              <w:rPr>
                <w:rFonts w:eastAsia="Times New Roman"/>
                <w:lang w:val="ro-RO"/>
              </w:rPr>
            </w:pPr>
            <w:r w:rsidRPr="005A38E8">
              <w:rPr>
                <w:rFonts w:eastAsia="Times New Roman"/>
                <w:lang w:val="ro-RO"/>
              </w:rPr>
              <w:t>Raportul privind clasificarea activelor și pasivelor divizate pe sectoare instituționale, pe rezidenți/nerezidenți și pe valute (anexa nr.6)</w:t>
            </w:r>
          </w:p>
          <w:p w14:paraId="0012336D" w14:textId="41E37B16" w:rsidR="003426DA" w:rsidRPr="007503BF" w:rsidRDefault="003426DA" w:rsidP="003426DA">
            <w:pPr>
              <w:rPr>
                <w:rFonts w:eastAsia="Times New Roman"/>
                <w:lang w:val="ro-RO" w:eastAsia="ro-MD"/>
              </w:rPr>
            </w:pPr>
            <w:r w:rsidRPr="005A38E8">
              <w:rPr>
                <w:rFonts w:eastAsia="Times New Roman"/>
                <w:lang w:val="ro-RO"/>
              </w:rPr>
              <w:t>Raportul privind date generale (anexa nr.8)</w:t>
            </w:r>
          </w:p>
        </w:tc>
      </w:tr>
      <w:tr w:rsidR="008979A1" w:rsidRPr="007503BF" w14:paraId="1E076677" w14:textId="77777777" w:rsidTr="00D0302E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CA531DF" w14:textId="0B6397EF" w:rsidR="008979A1" w:rsidRPr="007503BF" w:rsidRDefault="00BE568D" w:rsidP="008979A1">
            <w:pPr>
              <w:jc w:val="center"/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90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876EFD6" w14:textId="4BF6F7E5" w:rsidR="008979A1" w:rsidRPr="007503BF" w:rsidRDefault="004759FC" w:rsidP="008979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OCN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DBA495" w14:textId="60C9A8D8" w:rsidR="008979A1" w:rsidRPr="007503BF" w:rsidRDefault="00C84F23" w:rsidP="008979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OCN0106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45B8AD" w14:textId="49E7A20F" w:rsidR="008979A1" w:rsidRPr="007503BF" w:rsidRDefault="004759FC" w:rsidP="008979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OCN0106 Trimestrial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CAA8CE" w14:textId="0E5FF6B5" w:rsidR="008979A1" w:rsidRPr="007503BF" w:rsidRDefault="008979A1" w:rsidP="008979A1">
            <w:pPr>
              <w:jc w:val="center"/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BAA626" w14:textId="12883DE5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Organizații de creditare nebancară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B84EC4D" w14:textId="0FBB4041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56A2068" w14:textId="71B84194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696403">
              <w:rPr>
                <w:rFonts w:eastAsia="Times New Roman"/>
                <w:lang w:val="ro-RO" w:eastAsia="ro-MD"/>
              </w:rPr>
              <w:t xml:space="preserve">Instrucțiunea cu privire la raportarea organizațiilor de creditare nebancară, aprobată prin Hotărârea Comitetului executiv al </w:t>
            </w:r>
            <w:r w:rsidRPr="00696403">
              <w:rPr>
                <w:rFonts w:eastAsia="Times New Roman"/>
                <w:lang w:val="ro-RO" w:eastAsia="ro-MD"/>
              </w:rPr>
              <w:lastRenderedPageBreak/>
              <w:t>Băncii Naționale a Moldovei nr.15/2024 (anex</w:t>
            </w:r>
            <w:r>
              <w:rPr>
                <w:rFonts w:eastAsia="Times New Roman"/>
                <w:lang w:val="ro-RO" w:eastAsia="ro-MD"/>
              </w:rPr>
              <w:t>a nr.7)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36A3F34" w14:textId="349F146E" w:rsidR="008979A1" w:rsidRPr="005A38E8" w:rsidRDefault="008979A1" w:rsidP="00382A46">
            <w:pPr>
              <w:jc w:val="both"/>
              <w:rPr>
                <w:rFonts w:eastAsia="Times New Roman"/>
                <w:lang w:val="ro-RO"/>
              </w:rPr>
            </w:pPr>
            <w:r w:rsidRPr="005A38E8">
              <w:rPr>
                <w:rFonts w:eastAsia="Times New Roman"/>
                <w:lang w:val="ro-RO"/>
              </w:rPr>
              <w:lastRenderedPageBreak/>
              <w:t>Raportul privind creditorii organizației de creditare nebancară (anexa nr.7)</w:t>
            </w:r>
          </w:p>
        </w:tc>
      </w:tr>
      <w:tr w:rsidR="008979A1" w:rsidRPr="007503BF" w14:paraId="0DBF0BAA" w14:textId="77777777" w:rsidTr="00D0302E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1173A4" w14:textId="4AA0069E" w:rsidR="008979A1" w:rsidRPr="007503BF" w:rsidRDefault="00BE568D" w:rsidP="008979A1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9</w:t>
            </w:r>
            <w:r>
              <w:rPr>
                <w:rFonts w:eastAsia="Times New Roman"/>
                <w:lang w:val="ro-RO" w:eastAsia="ro-MD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8E3D69" w14:textId="4EF5E038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OCN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D6AF07" w14:textId="782AB4A3" w:rsidR="008979A1" w:rsidRPr="007503BF" w:rsidRDefault="000C2BF9" w:rsidP="008979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OCN0108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B0556C4" w14:textId="1960B7DF" w:rsidR="008979A1" w:rsidRPr="007503BF" w:rsidRDefault="000C2BF9" w:rsidP="008979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OCN0108 Trimestrial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6DE7205" w14:textId="4C1F6A95" w:rsidR="008979A1" w:rsidRPr="007503BF" w:rsidRDefault="008979A1" w:rsidP="008979A1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EC91B55" w14:textId="6C48A3AD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Organizații de creditare nebancară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2A6CEA" w14:textId="39BC23FA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AA1091A" w14:textId="01BCF8AE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Instrucțiunea cu privire la raportarea organizațiilor de creditare nebancară nr.15/2024 (anexa 9)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EE6F7D8" w14:textId="2E7A93CB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5A38E8">
              <w:rPr>
                <w:rFonts w:eastAsia="Times New Roman"/>
                <w:lang w:val="ro-RO"/>
              </w:rPr>
              <w:t>Raportul cu privire la portofoliul de credite nebancare acordate/ leasing acordat (anexa nr.9)</w:t>
            </w:r>
          </w:p>
        </w:tc>
      </w:tr>
      <w:tr w:rsidR="008979A1" w:rsidRPr="007503BF" w14:paraId="550A4A26" w14:textId="77777777" w:rsidTr="00D0302E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6FE4D4D" w14:textId="2F84ABE9" w:rsidR="008979A1" w:rsidRPr="007503BF" w:rsidRDefault="008979A1" w:rsidP="008979A1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9</w:t>
            </w:r>
            <w:r w:rsidR="00C50344">
              <w:rPr>
                <w:rFonts w:eastAsia="Times New Roman"/>
                <w:lang w:val="ro-RO" w:eastAsia="ro-MD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E859D1" w14:textId="1EFB9B70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OCN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CA6E69" w14:textId="0FC3E955" w:rsidR="008979A1" w:rsidRPr="007503BF" w:rsidRDefault="00C50344" w:rsidP="008979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OCN0109A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0FA708F" w14:textId="148CF8B5" w:rsidR="008979A1" w:rsidRPr="007503BF" w:rsidRDefault="00BC747C" w:rsidP="008979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/>
              </w:rPr>
              <w:t>OCN0109A Anual</w:t>
            </w:r>
            <w:r w:rsidR="008979A1" w:rsidRPr="007503BF">
              <w:rPr>
                <w:rFonts w:eastAsia="Times New Roman"/>
                <w:lang w:val="ro-RO" w:eastAsia="ro-MD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2BD038D" w14:textId="1766DF9C" w:rsidR="008979A1" w:rsidRPr="007503BF" w:rsidRDefault="008979A1" w:rsidP="008979A1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anual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3E294A" w14:textId="609D271B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Organizații de creditare nebancară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3C2D965" w14:textId="07F222EF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51AC58B" w14:textId="6F32E26B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Instrucțiunea cu privire la raportarea organizațiilor de creditare nebancară nr.15/2024  (anexa 10)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E251A89" w14:textId="71250AD6" w:rsidR="008979A1" w:rsidRPr="005A38E8" w:rsidRDefault="008979A1" w:rsidP="008979A1">
            <w:pPr>
              <w:jc w:val="both"/>
              <w:rPr>
                <w:rFonts w:eastAsia="Times New Roman"/>
                <w:lang w:val="ro-RO"/>
              </w:rPr>
            </w:pPr>
            <w:r w:rsidRPr="007503BF">
              <w:rPr>
                <w:rFonts w:eastAsia="Times New Roman"/>
                <w:lang w:val="ro-RO"/>
              </w:rPr>
              <w:t>Raportul privind deținătorii (anexa nr. 10</w:t>
            </w:r>
            <w:r w:rsidR="00D6337B">
              <w:rPr>
                <w:rFonts w:eastAsia="Times New Roman"/>
                <w:lang w:val="ro-RO"/>
              </w:rPr>
              <w:t>, formularul OCN0109A</w:t>
            </w:r>
            <w:r w:rsidRPr="007503BF">
              <w:rPr>
                <w:rFonts w:eastAsia="Times New Roman"/>
                <w:lang w:val="ro-RO"/>
              </w:rPr>
              <w:t>)</w:t>
            </w:r>
            <w:r w:rsidR="00D6337B">
              <w:rPr>
                <w:rFonts w:eastAsia="Times New Roman"/>
                <w:lang w:val="ro-RO"/>
              </w:rPr>
              <w:t xml:space="preserve"> </w:t>
            </w:r>
          </w:p>
          <w:p w14:paraId="0F1934C6" w14:textId="77777777" w:rsidR="008979A1" w:rsidRPr="007503BF" w:rsidRDefault="008979A1" w:rsidP="008979A1">
            <w:pPr>
              <w:rPr>
                <w:rFonts w:eastAsia="Times New Roman"/>
                <w:lang w:val="ro-RO" w:eastAsia="ro-MD"/>
              </w:rPr>
            </w:pPr>
          </w:p>
        </w:tc>
      </w:tr>
      <w:tr w:rsidR="007F68C9" w:rsidRPr="007503BF" w14:paraId="5A336CC7" w14:textId="77777777" w:rsidTr="00D0302E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59974F6" w14:textId="1C4DCA8C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93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28D178" w14:textId="03EE8363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OCN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7F8A2BD" w14:textId="421FCCED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OCN0109B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88804B3" w14:textId="588CD5B9" w:rsidR="007F68C9" w:rsidRPr="007503BF" w:rsidRDefault="007F68C9" w:rsidP="007F68C9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OCN0109B Anual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5293147" w14:textId="5F4F3BDE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anual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543A25" w14:textId="4949146C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Organizații de creditare nebancară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4796FB" w14:textId="13A15E4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SIA SIREM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77C020" w14:textId="4E70D27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Instrucțiunea cu privire la raportarea organizațiilor de creditare nebancară nr.15/2024  (anexa 10)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4830D8" w14:textId="4F2344AE" w:rsidR="007F68C9" w:rsidRPr="005A38E8" w:rsidRDefault="007F68C9" w:rsidP="007F68C9">
            <w:pPr>
              <w:jc w:val="both"/>
              <w:rPr>
                <w:rFonts w:eastAsia="Times New Roman"/>
                <w:lang w:val="ro-RO"/>
              </w:rPr>
            </w:pPr>
            <w:r w:rsidRPr="007503BF">
              <w:rPr>
                <w:rFonts w:eastAsia="Times New Roman"/>
                <w:lang w:val="ro-RO"/>
              </w:rPr>
              <w:t>Raportul privind deținătorii (anexa nr. 10</w:t>
            </w:r>
            <w:r w:rsidR="00D6337B">
              <w:rPr>
                <w:rFonts w:eastAsia="Times New Roman"/>
                <w:lang w:val="ro-RO"/>
              </w:rPr>
              <w:t>, formularul OCN0109B</w:t>
            </w:r>
            <w:r w:rsidRPr="007503BF">
              <w:rPr>
                <w:rFonts w:eastAsia="Times New Roman"/>
                <w:lang w:val="ro-RO"/>
              </w:rPr>
              <w:t>)</w:t>
            </w:r>
          </w:p>
          <w:p w14:paraId="0012542A" w14:textId="77777777" w:rsidR="007F68C9" w:rsidRPr="007503BF" w:rsidRDefault="007F68C9" w:rsidP="007F68C9">
            <w:pPr>
              <w:jc w:val="both"/>
              <w:rPr>
                <w:rFonts w:eastAsia="Times New Roman"/>
                <w:lang w:val="ro-RO"/>
              </w:rPr>
            </w:pPr>
          </w:p>
        </w:tc>
      </w:tr>
      <w:tr w:rsidR="007F68C9" w:rsidRPr="007503BF" w14:paraId="567EF9A6" w14:textId="77777777" w:rsidTr="00D0302E">
        <w:trPr>
          <w:jc w:val="center"/>
        </w:trPr>
        <w:tc>
          <w:tcPr>
            <w:tcW w:w="1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0C49C0B" w14:textId="7F2DFCD6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9</w:t>
            </w:r>
            <w:r w:rsidR="0029662E">
              <w:rPr>
                <w:rFonts w:eastAsia="Times New Roman"/>
                <w:lang w:val="ro-RO" w:eastAsia="ro-MD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1A308BB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692CF01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asig01e01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1C2C16" w14:textId="5824B9FA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Raport </w:t>
            </w:r>
            <w:r w:rsidRPr="007503BF">
              <w:rPr>
                <w:rFonts w:eastAsia="Times New Roman"/>
                <w:color w:val="000000" w:themeColor="text1"/>
                <w:lang w:val="ro-RO" w:eastAsia="ro-MD"/>
              </w:rPr>
              <w:t>cu privire la</w:t>
            </w:r>
            <w:r w:rsidRPr="007503BF">
              <w:rPr>
                <w:rFonts w:eastAsia="Times New Roman"/>
                <w:lang w:val="ro-RO" w:eastAsia="ro-MD"/>
              </w:rPr>
              <w:t xml:space="preserve"> asigurarea obligatorie de răspundere civilă auto internă (RCA)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40FDA" w14:textId="77777777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lunar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0D917" w14:textId="68FBA014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5185A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C41C18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Hotărârea Comisiei Naționale a Pieței Financiare nr. 57/14/2018 cu privire la aprobarea rapoartelor specializate ale asigurătorilor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reasigurătorilor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) aferente asigurărilor obligatorii de răspundere civilă auto internă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externă (Monitorul Oficial al Republicii Moldova, 2019, nr.30-37 art.234) (anexa nr. 1)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6B809" w14:textId="7ADA2AE7" w:rsidR="007F68C9" w:rsidRPr="007503BF" w:rsidRDefault="007F68C9" w:rsidP="007F68C9">
            <w:pPr>
              <w:rPr>
                <w:rFonts w:eastAsia="Times New Roman"/>
                <w:color w:val="FF0000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Raport </w:t>
            </w:r>
            <w:r w:rsidRPr="007503BF">
              <w:rPr>
                <w:rFonts w:eastAsia="Times New Roman"/>
                <w:color w:val="000000" w:themeColor="text1"/>
                <w:lang w:val="ro-RO" w:eastAsia="ro-MD"/>
              </w:rPr>
              <w:t>privind</w:t>
            </w:r>
            <w:r w:rsidRPr="007503BF">
              <w:rPr>
                <w:rFonts w:eastAsia="Times New Roman"/>
                <w:lang w:val="ro-RO" w:eastAsia="ro-MD"/>
              </w:rPr>
              <w:t xml:space="preserve"> asigurarea obligatorie de răspundere civilă auto internă (RCA) </w:t>
            </w:r>
            <w:r w:rsidRPr="007503BF">
              <w:rPr>
                <w:rFonts w:eastAsia="Times New Roman"/>
                <w:color w:val="000000" w:themeColor="text1"/>
                <w:lang w:val="ro-RO" w:eastAsia="ro-MD"/>
              </w:rPr>
              <w:t xml:space="preserve">al asigurătorului </w:t>
            </w:r>
            <w:r w:rsidRPr="007503BF">
              <w:rPr>
                <w:rFonts w:eastAsia="Times New Roman"/>
                <w:lang w:val="ro-RO" w:eastAsia="ro-MD"/>
              </w:rPr>
              <w:t>(anexa nr. 1)</w:t>
            </w:r>
          </w:p>
        </w:tc>
      </w:tr>
      <w:tr w:rsidR="007F68C9" w:rsidRPr="007503BF" w14:paraId="17E5F071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03C40FA" w14:textId="224989B7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lastRenderedPageBreak/>
              <w:t>9</w:t>
            </w:r>
            <w:r w:rsidR="0029662E">
              <w:rPr>
                <w:rFonts w:eastAsia="Times New Roman"/>
                <w:lang w:val="ro-RO" w:eastAsia="ro-MD"/>
              </w:rPr>
              <w:t>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959156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F553E7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asig01e02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A09F95" w14:textId="2E891C4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 cu privire la  asigurarea obligatorie de răspundere civilă auto externă (Carte Verde)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6FFBC" w14:textId="77777777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lunar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D7249" w14:textId="1660F3AB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6540F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373DB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Hotărârea Comisiei Naționale a Pieței Financiare cu privire la aprobarea rapoartelor specializate ale asigurătorilor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reasigurătorilor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) aferente asigurărilor obligatorii de răspundere civilă auto internă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externă (anexa nr.2)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05913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 privind  asigurarea obligatorie de răspundere civilă auto externă (Carte Verde) al asigurătorului (anexa nr. 2)</w:t>
            </w:r>
          </w:p>
        </w:tc>
      </w:tr>
      <w:tr w:rsidR="007F68C9" w:rsidRPr="007503BF" w14:paraId="44506DFA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B45DDEA" w14:textId="7A350193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9</w:t>
            </w:r>
            <w:r w:rsidR="0029662E">
              <w:rPr>
                <w:rFonts w:eastAsia="Times New Roman"/>
                <w:lang w:val="ro-RO" w:eastAsia="ro-MD"/>
              </w:rPr>
              <w:t>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25F430E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B9C6366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asig01e03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99E2EE0" w14:textId="32FFC89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 privind rezultatul tehnic, rezultatul tehnic net determinat la asigurarea RCA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47913A7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trimestrial</w:t>
            </w:r>
          </w:p>
          <w:p w14:paraId="43F3C40F" w14:textId="495601D9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B55DD8" w14:textId="2FE1933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DE24F9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E3D47E4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Hotărârea Comisiei Naționale a Pieței Financiare cu privire la aprobarea rapoartelor specializate ale asigurătorilor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reasigurătorilor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) aferente asigurărilor obligatorii de răspundere civilă auto internă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externă (anexele nr. 3 și 4)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FFBAABA" w14:textId="5E004754" w:rsidR="007F68C9" w:rsidRPr="007503BF" w:rsidRDefault="007F68C9" w:rsidP="007F68C9">
            <w:pPr>
              <w:pStyle w:val="cn"/>
              <w:spacing w:before="0" w:beforeAutospacing="0" w:after="0" w:afterAutospacing="0"/>
              <w:rPr>
                <w:lang w:val="ro-RO"/>
              </w:rPr>
            </w:pPr>
            <w:r w:rsidRPr="007503BF">
              <w:rPr>
                <w:lang w:val="ro-RO"/>
              </w:rPr>
              <w:t>Raport privind rezultatul tehnic determinat la asigurarea RCA (anexa nr.3)</w:t>
            </w:r>
          </w:p>
          <w:p w14:paraId="04D6ED0B" w14:textId="4BBD3942" w:rsidR="007F68C9" w:rsidRPr="007503BF" w:rsidRDefault="007F68C9" w:rsidP="007F68C9">
            <w:pPr>
              <w:pStyle w:val="cn"/>
              <w:spacing w:before="0" w:beforeAutospacing="0" w:after="0" w:afterAutospacing="0"/>
              <w:rPr>
                <w:lang w:val="ro-RO"/>
              </w:rPr>
            </w:pPr>
            <w:r w:rsidRPr="007503BF">
              <w:rPr>
                <w:lang w:val="ro-RO"/>
              </w:rPr>
              <w:t>Raportul privind rezultatul tehnic net determinat la asigurarea RCA (anexa nr.4)</w:t>
            </w:r>
          </w:p>
        </w:tc>
      </w:tr>
      <w:tr w:rsidR="007F68C9" w:rsidRPr="007503BF" w14:paraId="1C39ABB6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51BBFE" w14:textId="5E8A6B46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9</w:t>
            </w:r>
            <w:r w:rsidR="0029662E">
              <w:rPr>
                <w:rFonts w:eastAsia="Times New Roman"/>
                <w:lang w:val="ro-RO" w:eastAsia="ro-MD"/>
              </w:rPr>
              <w:t>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3A5D033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B30EE9A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asig01e04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3E34A7" w14:textId="251E282A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Raport privind rezultatul tehnic, rezultatul tehnic net determinat la asigurarea Carte Verde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076D90A" w14:textId="362B7C5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trimestrial</w:t>
            </w:r>
          </w:p>
          <w:p w14:paraId="2A711D8A" w14:textId="785FF861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08706DB" w14:textId="5B70CAEB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71EE396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0DDE24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Hotărârea Comisiei Naționale a Pieței Financiare cu privire la aprobarea rapoartelor specializate ale asigurătorilor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reasigurătorilor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) aferente asigurărilor obligatorii de răspundere civilă auto </w:t>
            </w:r>
            <w:r w:rsidRPr="007503BF">
              <w:rPr>
                <w:rFonts w:eastAsia="Times New Roman"/>
                <w:lang w:val="ro-RO" w:eastAsia="ro-MD"/>
              </w:rPr>
              <w:lastRenderedPageBreak/>
              <w:t xml:space="preserve">internă 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 externă (anexele nr. 3 și 4)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0FCD17" w14:textId="026BC163" w:rsidR="007F68C9" w:rsidRPr="007503BF" w:rsidRDefault="007F68C9" w:rsidP="007F68C9">
            <w:pPr>
              <w:pStyle w:val="cn"/>
              <w:spacing w:before="0" w:beforeAutospacing="0" w:after="0" w:afterAutospacing="0"/>
              <w:rPr>
                <w:lang w:val="ro-RO"/>
              </w:rPr>
            </w:pPr>
            <w:r w:rsidRPr="007503BF">
              <w:rPr>
                <w:lang w:val="ro-RO"/>
              </w:rPr>
              <w:lastRenderedPageBreak/>
              <w:t>Raportul privind rezultatul tehnic determinat la asigurarea Carte Verde al asigurătorului (anexa nr.3)</w:t>
            </w:r>
          </w:p>
          <w:p w14:paraId="2B3BC62C" w14:textId="7AE6B6B2" w:rsidR="007F68C9" w:rsidRPr="007503BF" w:rsidRDefault="007F68C9" w:rsidP="007F68C9">
            <w:pPr>
              <w:pStyle w:val="cn"/>
              <w:spacing w:before="0" w:beforeAutospacing="0" w:after="0" w:afterAutospacing="0"/>
              <w:rPr>
                <w:lang w:val="ro-RO"/>
              </w:rPr>
            </w:pPr>
            <w:r w:rsidRPr="007503BF">
              <w:rPr>
                <w:lang w:val="ro-RO"/>
              </w:rPr>
              <w:t>Raportul privind rezultatul tehnic net determinat la asigurarea Carte Verde al asigurătorului (anexa nr.4)</w:t>
            </w:r>
          </w:p>
          <w:p w14:paraId="2F2E3F28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</w:p>
        </w:tc>
      </w:tr>
      <w:tr w:rsidR="007F68C9" w:rsidRPr="007503BF" w14:paraId="4A9B91DB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749299" w14:textId="7F423478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lastRenderedPageBreak/>
              <w:t>9</w:t>
            </w:r>
            <w:r w:rsidR="007D2643">
              <w:rPr>
                <w:rFonts w:eastAsia="Times New Roman"/>
                <w:lang w:val="ro-RO" w:eastAsia="ro-MD"/>
              </w:rPr>
              <w:t>8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628E248" w14:textId="734DABC5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97DB0CF" w14:textId="7ACD81D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asig01e05AG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9FDD26C" w14:textId="29E3C9D8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Situații financiare specializate</w:t>
            </w:r>
            <w:r w:rsidR="008E748C">
              <w:rPr>
                <w:rFonts w:eastAsia="Times New Roman"/>
                <w:lang w:val="ro-RO" w:eastAsia="ro-MD"/>
              </w:rPr>
              <w:t xml:space="preserve"> individuale</w:t>
            </w:r>
            <w:r w:rsidRPr="007503BF">
              <w:rPr>
                <w:rFonts w:eastAsia="Times New Roman"/>
                <w:lang w:val="ro-RO" w:eastAsia="ro-MD"/>
              </w:rPr>
              <w:t>(AG)</w:t>
            </w:r>
          </w:p>
          <w:p w14:paraId="55F4C812" w14:textId="082780B1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AAC3055" w14:textId="44BD4BCE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trimestrial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A6185C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  <w:p w14:paraId="2AC705E5" w14:textId="6A91ABD6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tip licență- asigurări generale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039F3F1" w14:textId="511BE9C8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A501E8C" w14:textId="36E47F1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lang w:val="ro-RO"/>
              </w:rPr>
              <w:t xml:space="preserve">Regulamentul privind situațiile financiare </w:t>
            </w:r>
            <w:r w:rsidRPr="007503BF">
              <w:rPr>
                <w:rFonts w:eastAsia="Times New Roman"/>
                <w:lang w:val="ro-RO" w:eastAsia="ro-MD"/>
              </w:rPr>
              <w:t>specializate</w:t>
            </w:r>
            <w:r w:rsidRPr="007503BF">
              <w:rPr>
                <w:lang w:val="ro-RO"/>
              </w:rPr>
              <w:t xml:space="preserve"> ale societăților  de asigurare sau de reasigurare, aprobat prin Hotărârea Comisiei Naționale a Pieței Financiare nr. 30/13/2023 (Monitorul Oficial al Republicii Moldova, 2023,  nr.216-219 art.622) (anexa nr.1 și nr.2)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FF7E98C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Forma BC – Bilanțul contabil </w:t>
            </w:r>
          </w:p>
          <w:p w14:paraId="24C76DB6" w14:textId="717A1D5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(anexa nr. 1)</w:t>
            </w:r>
          </w:p>
          <w:p w14:paraId="73BA0B5F" w14:textId="0F4059F2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PP – Contul de profit și pierdere, inclusiv contul tehnic pe categorii</w:t>
            </w:r>
            <w:r w:rsidR="008E748C">
              <w:rPr>
                <w:rFonts w:eastAsia="Times New Roman"/>
                <w:lang w:val="ro-RO" w:eastAsia="ro-MD"/>
              </w:rPr>
              <w:t xml:space="preserve"> și pe clase</w:t>
            </w:r>
            <w:r w:rsidRPr="007503BF">
              <w:rPr>
                <w:rFonts w:eastAsia="Times New Roman"/>
                <w:lang w:val="ro-RO" w:eastAsia="ro-MD"/>
              </w:rPr>
              <w:t xml:space="preserve"> de asigurări și contul non-tehnic (anexa nr. 2)</w:t>
            </w:r>
          </w:p>
          <w:p w14:paraId="2EB0AAF7" w14:textId="5AD712E9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</w:p>
        </w:tc>
      </w:tr>
      <w:tr w:rsidR="007F68C9" w:rsidRPr="007503BF" w14:paraId="2F546922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85819F1" w14:textId="22C32CD3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9</w:t>
            </w:r>
            <w:r w:rsidR="007D2643">
              <w:rPr>
                <w:rFonts w:eastAsia="Times New Roman"/>
                <w:lang w:val="ro-RO" w:eastAsia="ro-MD"/>
              </w:rPr>
              <w:t>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E8329A" w14:textId="370F779A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4EA281E" w14:textId="53292B4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asig01e05C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BE11322" w14:textId="7B893CE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Situații financiare specializate </w:t>
            </w:r>
            <w:r w:rsidR="008E748C">
              <w:rPr>
                <w:rFonts w:eastAsia="Times New Roman"/>
                <w:lang w:val="ro-RO" w:eastAsia="ro-MD"/>
              </w:rPr>
              <w:t xml:space="preserve">individuale </w:t>
            </w:r>
            <w:r w:rsidRPr="007503BF">
              <w:rPr>
                <w:rFonts w:eastAsia="Times New Roman"/>
                <w:lang w:val="ro-RO" w:eastAsia="ro-MD"/>
              </w:rPr>
              <w:t>(Compozit)</w:t>
            </w:r>
          </w:p>
          <w:p w14:paraId="5611EF7F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1DCADC" w14:textId="1E7CE1F1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trimestrial 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2A3883E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  <w:p w14:paraId="56FC06BA" w14:textId="7396408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tip licență -compozit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D9AFF3D" w14:textId="06AEA6AB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E3E8FB0" w14:textId="2B8CD71C" w:rsidR="007F68C9" w:rsidRPr="007503BF" w:rsidRDefault="007F68C9" w:rsidP="007F68C9">
            <w:pPr>
              <w:rPr>
                <w:lang w:val="ro-RO"/>
              </w:rPr>
            </w:pPr>
            <w:r w:rsidRPr="007503BF">
              <w:rPr>
                <w:lang w:val="ro-RO"/>
              </w:rPr>
              <w:t>Regulamentul privind situațiile financiare specializate ale societăților  de asigurare sau de reasigurare (anexa nr.1 și nr.2)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146C85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Forma BC – Bilanțul contabil </w:t>
            </w:r>
          </w:p>
          <w:p w14:paraId="5E93FC49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(anexa nr. 1)</w:t>
            </w:r>
          </w:p>
          <w:p w14:paraId="211B4C8C" w14:textId="508BA6E2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PP – Contul de profit și pierdere, inclusiv contul tehnic pe categorii</w:t>
            </w:r>
            <w:r w:rsidR="003A393D">
              <w:rPr>
                <w:rFonts w:eastAsia="Times New Roman"/>
                <w:lang w:val="ro-RO" w:eastAsia="ro-MD"/>
              </w:rPr>
              <w:t xml:space="preserve"> și pe clase</w:t>
            </w:r>
            <w:r w:rsidRPr="007503BF">
              <w:rPr>
                <w:rFonts w:eastAsia="Times New Roman"/>
                <w:lang w:val="ro-RO" w:eastAsia="ro-MD"/>
              </w:rPr>
              <w:t xml:space="preserve"> de asigurări și contul non-tehnic (anexa nr. 2)</w:t>
            </w:r>
          </w:p>
        </w:tc>
      </w:tr>
      <w:tr w:rsidR="007F68C9" w:rsidRPr="007503BF" w14:paraId="1C9D5077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155C80B" w14:textId="349B6DD3" w:rsidR="007F68C9" w:rsidRPr="007503BF" w:rsidRDefault="007D2643" w:rsidP="007F68C9">
            <w:pPr>
              <w:jc w:val="center"/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100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E847E9" w14:textId="540679BA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1B5724" w14:textId="212BB6A4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asig01e05AG_A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FD53A8" w14:textId="4320CF0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Situații financiare specializate anuale</w:t>
            </w:r>
            <w:r w:rsidR="00F42653">
              <w:rPr>
                <w:rFonts w:eastAsia="Times New Roman"/>
                <w:lang w:val="ro-RO" w:eastAsia="ro-MD"/>
              </w:rPr>
              <w:t xml:space="preserve"> individuale</w:t>
            </w:r>
            <w:r w:rsidRPr="007503BF">
              <w:rPr>
                <w:rFonts w:eastAsia="Times New Roman"/>
                <w:lang w:val="ro-RO" w:eastAsia="ro-MD"/>
              </w:rPr>
              <w:t xml:space="preserve"> (AG)</w:t>
            </w:r>
          </w:p>
          <w:p w14:paraId="47EABAF9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13CA76" w14:textId="1C7F13CC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anual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5B8264D" w14:textId="26DD5BD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  <w:p w14:paraId="794AC8D6" w14:textId="015D1A32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tip licență- asigurări generale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507ADE2" w14:textId="47364203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2A67F8E" w14:textId="078F5266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lang w:val="ro-RO"/>
              </w:rPr>
              <w:t>Regulamentul privind situațiile financiare specializate ale societăților  de asigurare sau de reasigurare (anexele nr.1-5)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6583D04" w14:textId="6BC2B04D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BC – Bilanțul contabil (anexa nr. 1)</w:t>
            </w:r>
          </w:p>
          <w:p w14:paraId="02297D47" w14:textId="34AE4741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Forma PP – Contul de profit și pierdere, inclusiv contul tehnic pe categorii </w:t>
            </w:r>
            <w:r w:rsidR="00693014">
              <w:rPr>
                <w:rFonts w:eastAsia="Times New Roman"/>
                <w:lang w:val="ro-RO" w:eastAsia="ro-MD"/>
              </w:rPr>
              <w:t>și pe clase</w:t>
            </w:r>
            <w:r w:rsidR="00693014" w:rsidRPr="007503BF">
              <w:rPr>
                <w:rFonts w:eastAsia="Times New Roman"/>
                <w:lang w:val="ro-RO" w:eastAsia="ro-MD"/>
              </w:rPr>
              <w:t xml:space="preserve"> </w:t>
            </w:r>
            <w:r w:rsidRPr="007503BF">
              <w:rPr>
                <w:rFonts w:eastAsia="Times New Roman"/>
                <w:lang w:val="ro-RO" w:eastAsia="ro-MD"/>
              </w:rPr>
              <w:t>de asigurări și contul non-tehnic (anexa nr. 2)</w:t>
            </w:r>
          </w:p>
          <w:p w14:paraId="0CB7B076" w14:textId="3C4F0FC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FN – Situația fluxurilor de numerar (anexa nr. 3)</w:t>
            </w:r>
          </w:p>
          <w:p w14:paraId="7DF96406" w14:textId="401D0C0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Forma CP – Capital propriu (anexa nr. 4) </w:t>
            </w:r>
          </w:p>
          <w:p w14:paraId="58785D3A" w14:textId="35632E01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I – Investiții (anexa nr. 5)</w:t>
            </w:r>
          </w:p>
        </w:tc>
      </w:tr>
      <w:tr w:rsidR="007F68C9" w:rsidRPr="007503BF" w14:paraId="1BDE0D46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E35431" w14:textId="49D102F4" w:rsidR="007F68C9" w:rsidRPr="007503BF" w:rsidRDefault="007D2643" w:rsidP="007F68C9">
            <w:pPr>
              <w:jc w:val="center"/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lastRenderedPageBreak/>
              <w:t>101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21C719" w14:textId="54512E54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2DFE81D" w14:textId="3AAAE05D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asig01e05C_A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776F69E" w14:textId="0E49F49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Situații financiare specializate anuale </w:t>
            </w:r>
            <w:r w:rsidR="00F42653">
              <w:rPr>
                <w:rFonts w:eastAsia="Times New Roman"/>
                <w:lang w:val="ro-RO" w:eastAsia="ro-MD"/>
              </w:rPr>
              <w:t xml:space="preserve">individuale </w:t>
            </w:r>
            <w:r w:rsidRPr="007503BF">
              <w:rPr>
                <w:rFonts w:eastAsia="Times New Roman"/>
                <w:lang w:val="ro-RO" w:eastAsia="ro-MD"/>
              </w:rPr>
              <w:t>(Compozit)</w:t>
            </w:r>
          </w:p>
          <w:p w14:paraId="12D89F2B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5EE733" w14:textId="39DFF81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anual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1607E04" w14:textId="2D5D6BE3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  <w:p w14:paraId="22D85A4F" w14:textId="09B856AA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tip licență -compozit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10D46D0" w14:textId="5D234783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6289A7" w14:textId="2D7B4D53" w:rsidR="007F68C9" w:rsidRPr="007503BF" w:rsidRDefault="007F68C9" w:rsidP="007F68C9">
            <w:pPr>
              <w:rPr>
                <w:lang w:val="ro-RO"/>
              </w:rPr>
            </w:pPr>
            <w:r w:rsidRPr="007503BF">
              <w:rPr>
                <w:lang w:val="ro-RO"/>
              </w:rPr>
              <w:t>Regulamentul privind situațiile financiare specializate ale societăților  de asigurare sau de reasigurare (anexele nr.1-5)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C1289B1" w14:textId="486E1A5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BC – Bilanțul contabil (anexa nr. 1)</w:t>
            </w:r>
          </w:p>
          <w:p w14:paraId="2E391BC6" w14:textId="6CED53EA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PP – Contul de profit și pierdere, inclusiv contul tehnic pe categorii</w:t>
            </w:r>
            <w:r w:rsidR="0089569D">
              <w:rPr>
                <w:rFonts w:eastAsia="Times New Roman"/>
                <w:lang w:val="ro-RO" w:eastAsia="ro-MD"/>
              </w:rPr>
              <w:t xml:space="preserve"> și pe clase</w:t>
            </w:r>
            <w:r w:rsidRPr="007503BF">
              <w:rPr>
                <w:rFonts w:eastAsia="Times New Roman"/>
                <w:lang w:val="ro-RO" w:eastAsia="ro-MD"/>
              </w:rPr>
              <w:t xml:space="preserve"> de asigurări și contul non-tehnic (anexa nr. 2)</w:t>
            </w:r>
          </w:p>
          <w:p w14:paraId="5FEB57EA" w14:textId="5751F9CD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FN – Situația fluxurilor de numerar (anexa nr. 3)</w:t>
            </w:r>
          </w:p>
          <w:p w14:paraId="629895CE" w14:textId="7EE9225B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CP – Capital propriu (anexa nr. 4)</w:t>
            </w:r>
          </w:p>
          <w:p w14:paraId="4047C1AE" w14:textId="50D80B0C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I – Investiții (anexa nr. 5)</w:t>
            </w:r>
          </w:p>
        </w:tc>
      </w:tr>
      <w:tr w:rsidR="007F68C9" w:rsidRPr="007503BF" w14:paraId="5F80B21F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BDE67F8" w14:textId="726B3988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10</w:t>
            </w:r>
            <w:r w:rsidR="007D2643">
              <w:rPr>
                <w:rFonts w:eastAsia="Times New Roman"/>
                <w:lang w:val="ro-RO" w:eastAsia="ro-MD"/>
              </w:rPr>
              <w:t>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E47936C" w14:textId="0F6BD231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AEF79AA" w14:textId="6057237E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ab/>
              <w:t>asig01e05AG_A_C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1231A66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Situații financiare specializate</w:t>
            </w:r>
          </w:p>
          <w:p w14:paraId="401B4A05" w14:textId="435708A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anuale consolidate (AG)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1F384CB" w14:textId="2A1A59FD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anual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81638B9" w14:textId="5965C249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  <w:p w14:paraId="263A5DED" w14:textId="6DA8AAE8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tip licență- asigurări generale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8322271" w14:textId="6D4AC26E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601E9F" w14:textId="6811EDB2" w:rsidR="007F68C9" w:rsidRPr="007503BF" w:rsidRDefault="007F68C9" w:rsidP="007F68C9">
            <w:pPr>
              <w:rPr>
                <w:lang w:val="ro-RO"/>
              </w:rPr>
            </w:pPr>
            <w:r w:rsidRPr="007503BF">
              <w:rPr>
                <w:lang w:val="ro-RO"/>
              </w:rPr>
              <w:t>Regulamentul privind situațiile financiare specializate ale societăților  de asigurare sau de reasigurare (anexele nr.1-5)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F54F6D" w14:textId="7AB16B48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BC – Bilanțul contabil (anexa nr. 1)</w:t>
            </w:r>
          </w:p>
          <w:p w14:paraId="57F4EB5A" w14:textId="6021147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PP – Contul de profit și pierdere, inclusiv contul tehnic pe categorii</w:t>
            </w:r>
            <w:r w:rsidR="001C4C81">
              <w:rPr>
                <w:rFonts w:eastAsia="Times New Roman"/>
                <w:lang w:val="ro-RO" w:eastAsia="ro-MD"/>
              </w:rPr>
              <w:t xml:space="preserve"> și pe clase</w:t>
            </w:r>
            <w:r w:rsidRPr="007503BF">
              <w:rPr>
                <w:rFonts w:eastAsia="Times New Roman"/>
                <w:lang w:val="ro-RO" w:eastAsia="ro-MD"/>
              </w:rPr>
              <w:t xml:space="preserve"> de asigurări și contul non-tehnic (anexa nr. 2)</w:t>
            </w:r>
          </w:p>
          <w:p w14:paraId="69F5C4F8" w14:textId="202C8A0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FN – Situația fluxurilor de numerar (anexa nr. 3)</w:t>
            </w:r>
          </w:p>
          <w:p w14:paraId="14923FCE" w14:textId="67B6E249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 xml:space="preserve">Forma CP – Capital propriu (anexa nr. 4) </w:t>
            </w:r>
          </w:p>
          <w:p w14:paraId="50837DDF" w14:textId="6E1404E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I – Investiții (anexa nr. 5)</w:t>
            </w:r>
          </w:p>
        </w:tc>
      </w:tr>
      <w:tr w:rsidR="007F68C9" w:rsidRPr="007503BF" w14:paraId="1A18E83B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64AF3E5" w14:textId="168B1005" w:rsidR="007F68C9" w:rsidRPr="007503BF" w:rsidRDefault="007F68C9" w:rsidP="007F68C9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10</w:t>
            </w:r>
            <w:r w:rsidR="00137151">
              <w:rPr>
                <w:rFonts w:eastAsia="Times New Roman"/>
                <w:lang w:val="ro-RO" w:eastAsia="ro-MD"/>
              </w:rPr>
              <w:t>3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7B7A0C" w14:textId="46CCA74D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00600BD" w14:textId="130E49A9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ab/>
              <w:t>asig01e05C _A_C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64E687" w14:textId="77777777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Situații financiare specializate</w:t>
            </w:r>
          </w:p>
          <w:p w14:paraId="31573F75" w14:textId="7616AA9B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anuale consolidate (Compozit)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B2A3B73" w14:textId="054F2209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anual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E2D966" w14:textId="0BBD395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  <w:p w14:paraId="1E37A3B7" w14:textId="1FD341BE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tip licență -compozit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7905D8C" w14:textId="78A6B1CF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861BB4B" w14:textId="2E0041B2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lang w:val="ro-RO"/>
              </w:rPr>
              <w:t>Regulamentul privind situațiile financiare specializate ale societăților  de asigurare sau de reasigurare (anexele nr.1-5)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104F090" w14:textId="262C8966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BC – Bilanțul contabil (anexa nr. 1)</w:t>
            </w:r>
          </w:p>
          <w:p w14:paraId="558D7790" w14:textId="63E2C0D0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PP – Contul de profit și pierdere, inclusiv contul tehnic pe categorii</w:t>
            </w:r>
            <w:r w:rsidR="001C4C81">
              <w:rPr>
                <w:rFonts w:eastAsia="Times New Roman"/>
                <w:lang w:val="ro-RO" w:eastAsia="ro-MD"/>
              </w:rPr>
              <w:t xml:space="preserve"> și pe clase</w:t>
            </w:r>
            <w:r w:rsidRPr="007503BF">
              <w:rPr>
                <w:rFonts w:eastAsia="Times New Roman"/>
                <w:lang w:val="ro-RO" w:eastAsia="ro-MD"/>
              </w:rPr>
              <w:t xml:space="preserve"> de asigurări și contul non-tehnic (anexa nr. 2)</w:t>
            </w:r>
          </w:p>
          <w:p w14:paraId="2F30B272" w14:textId="315F5B93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FN – Situația fluxurilor de numerar (anexa nr. 3)</w:t>
            </w:r>
          </w:p>
          <w:p w14:paraId="7A3A7ECD" w14:textId="3248D844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lastRenderedPageBreak/>
              <w:t xml:space="preserve">Forma CP – Capital propriu (anexa nr. 4) </w:t>
            </w:r>
          </w:p>
          <w:p w14:paraId="385B1A9E" w14:textId="2F9D7595" w:rsidR="007F68C9" w:rsidRPr="007503BF" w:rsidRDefault="007F68C9" w:rsidP="007F68C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Forma I – Investiții (anexa nr. 5)</w:t>
            </w:r>
          </w:p>
        </w:tc>
      </w:tr>
      <w:tr w:rsidR="00917913" w:rsidRPr="007503BF" w14:paraId="02151101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17BF42C" w14:textId="6E6D2F13" w:rsidR="00917913" w:rsidRPr="007503BF" w:rsidDel="0078700E" w:rsidRDefault="00917913" w:rsidP="00917913">
            <w:pPr>
              <w:jc w:val="center"/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lastRenderedPageBreak/>
              <w:t>10</w:t>
            </w:r>
            <w:r w:rsidR="007D5792">
              <w:rPr>
                <w:rFonts w:eastAsia="Times New Roman"/>
                <w:lang w:val="ro-RO" w:eastAsia="ro-MD"/>
              </w:rPr>
              <w:t>4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B52EC9E" w14:textId="2A508E51" w:rsidR="00917913" w:rsidRPr="007503BF" w:rsidDel="0078700E" w:rsidRDefault="00917913" w:rsidP="00917913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4C1875" w14:textId="0405555E" w:rsidR="00917913" w:rsidRPr="007503BF" w:rsidDel="0078700E" w:rsidRDefault="00E85A3E" w:rsidP="00917913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</w:t>
            </w:r>
            <w:r w:rsidR="00917913">
              <w:rPr>
                <w:rFonts w:eastAsia="Times New Roman"/>
                <w:lang w:val="ro-RO" w:eastAsia="ro-MD"/>
              </w:rPr>
              <w:t>sig02e01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53022F" w14:textId="39F93DA8" w:rsidR="00917913" w:rsidRPr="008925BD" w:rsidDel="0078700E" w:rsidRDefault="00917913" w:rsidP="00917913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 xml:space="preserve">Funcțiile și activitățile </w:t>
            </w:r>
            <w:proofErr w:type="spellStart"/>
            <w:r>
              <w:rPr>
                <w:rFonts w:eastAsia="Times New Roman"/>
                <w:lang w:val="ro-RO" w:eastAsia="ro-MD"/>
              </w:rPr>
              <w:t>externalizate</w:t>
            </w:r>
            <w:proofErr w:type="spellEnd"/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876D59" w14:textId="36FA401A" w:rsidR="00917913" w:rsidRPr="007503BF" w:rsidDel="0078700E" w:rsidRDefault="002C794C" w:rsidP="00917913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s</w:t>
            </w:r>
            <w:r w:rsidR="00917913">
              <w:rPr>
                <w:rFonts w:eastAsia="Times New Roman"/>
                <w:lang w:val="ro-RO" w:eastAsia="ro-MD"/>
              </w:rPr>
              <w:t>emestrial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A7ACE3B" w14:textId="41DE7C4A" w:rsidR="00917913" w:rsidRPr="007503BF" w:rsidDel="0078700E" w:rsidRDefault="00917913" w:rsidP="00917913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44675F6" w14:textId="0F5300C5" w:rsidR="00917913" w:rsidRPr="007503BF" w:rsidDel="0078700E" w:rsidRDefault="00917913" w:rsidP="00917913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1127C32" w14:textId="7EADB30C" w:rsidR="002C794C" w:rsidRPr="002C794C" w:rsidRDefault="002C794C" w:rsidP="002C794C">
            <w:pPr>
              <w:rPr>
                <w:rFonts w:eastAsia="Times New Roman"/>
                <w:lang w:val="ro-RO" w:eastAsia="ro-MD"/>
              </w:rPr>
            </w:pPr>
            <w:r w:rsidRPr="002C794C">
              <w:rPr>
                <w:rFonts w:eastAsia="Times New Roman"/>
                <w:lang w:val="ro-RO" w:eastAsia="ro-MD"/>
              </w:rPr>
              <w:t xml:space="preserve">Regulamentul privind externalizarea </w:t>
            </w:r>
            <w:proofErr w:type="spellStart"/>
            <w:r w:rsidRPr="002C794C">
              <w:rPr>
                <w:rFonts w:eastAsia="Times New Roman"/>
                <w:lang w:val="ro-RO" w:eastAsia="ro-MD"/>
              </w:rPr>
              <w:t>funcţiilor</w:t>
            </w:r>
            <w:proofErr w:type="spellEnd"/>
            <w:r w:rsidRPr="002C794C">
              <w:rPr>
                <w:rFonts w:eastAsia="Times New Roman"/>
                <w:lang w:val="ro-RO" w:eastAsia="ro-MD"/>
              </w:rPr>
              <w:t xml:space="preserve"> </w:t>
            </w:r>
            <w:proofErr w:type="spellStart"/>
            <w:r w:rsidRPr="002C794C">
              <w:rPr>
                <w:rFonts w:eastAsia="Times New Roman"/>
                <w:lang w:val="ro-RO" w:eastAsia="ro-MD"/>
              </w:rPr>
              <w:t>şi</w:t>
            </w:r>
            <w:proofErr w:type="spellEnd"/>
          </w:p>
          <w:p w14:paraId="7D336D84" w14:textId="77777777" w:rsidR="002C794C" w:rsidRPr="002C794C" w:rsidRDefault="002C794C" w:rsidP="002C794C">
            <w:pPr>
              <w:rPr>
                <w:rFonts w:eastAsia="Times New Roman"/>
                <w:lang w:val="ro-RO" w:eastAsia="ro-MD"/>
              </w:rPr>
            </w:pPr>
            <w:proofErr w:type="spellStart"/>
            <w:r w:rsidRPr="002C794C">
              <w:rPr>
                <w:rFonts w:eastAsia="Times New Roman"/>
                <w:lang w:val="ro-RO" w:eastAsia="ro-MD"/>
              </w:rPr>
              <w:t>activităţilor</w:t>
            </w:r>
            <w:proofErr w:type="spellEnd"/>
            <w:r w:rsidRPr="002C794C">
              <w:rPr>
                <w:rFonts w:eastAsia="Times New Roman"/>
                <w:lang w:val="ro-RO" w:eastAsia="ro-MD"/>
              </w:rPr>
              <w:t xml:space="preserve"> legate de activitatea de asigurare sau de reasigurare</w:t>
            </w:r>
          </w:p>
          <w:p w14:paraId="4E2857FA" w14:textId="260FB994" w:rsidR="00917913" w:rsidRPr="007503BF" w:rsidDel="0078700E" w:rsidRDefault="002C794C" w:rsidP="002C794C">
            <w:pPr>
              <w:rPr>
                <w:rFonts w:eastAsia="Times New Roman"/>
                <w:lang w:val="ro-RO" w:eastAsia="ro-MD"/>
              </w:rPr>
            </w:pPr>
            <w:r w:rsidRPr="002C794C">
              <w:rPr>
                <w:rFonts w:eastAsia="Times New Roman"/>
                <w:lang w:val="ro-RO" w:eastAsia="ro-MD"/>
              </w:rPr>
              <w:t xml:space="preserve">de către </w:t>
            </w:r>
            <w:proofErr w:type="spellStart"/>
            <w:r w:rsidRPr="002C794C">
              <w:rPr>
                <w:rFonts w:eastAsia="Times New Roman"/>
                <w:lang w:val="ro-RO" w:eastAsia="ro-MD"/>
              </w:rPr>
              <w:t>societăţile</w:t>
            </w:r>
            <w:proofErr w:type="spellEnd"/>
            <w:r w:rsidRPr="002C794C">
              <w:rPr>
                <w:rFonts w:eastAsia="Times New Roman"/>
                <w:lang w:val="ro-RO" w:eastAsia="ro-MD"/>
              </w:rPr>
              <w:t xml:space="preserve"> de asigurare sau de reasigurare</w:t>
            </w:r>
            <w:r>
              <w:rPr>
                <w:rFonts w:eastAsia="Times New Roman"/>
                <w:lang w:val="ro-RO" w:eastAsia="ro-MD"/>
              </w:rPr>
              <w:t xml:space="preserve"> nr.242/2024 (Monitorul Oficial al Republicii Moldova, 2024, nr.418, a</w:t>
            </w:r>
            <w:r w:rsidR="00CA6521">
              <w:rPr>
                <w:rFonts w:eastAsia="Times New Roman"/>
                <w:lang w:val="ro-RO" w:eastAsia="ro-MD"/>
              </w:rPr>
              <w:t>r</w:t>
            </w:r>
            <w:r>
              <w:rPr>
                <w:rFonts w:eastAsia="Times New Roman"/>
                <w:lang w:val="ro-RO" w:eastAsia="ro-MD"/>
              </w:rPr>
              <w:t>t.774) (anexă)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F05A279" w14:textId="77777777" w:rsidR="002C794C" w:rsidRPr="002C794C" w:rsidRDefault="002C794C" w:rsidP="002C794C">
            <w:pPr>
              <w:rPr>
                <w:rFonts w:eastAsia="Times New Roman"/>
                <w:lang w:val="ro-RO" w:eastAsia="ro-MD"/>
              </w:rPr>
            </w:pPr>
            <w:r w:rsidRPr="002C794C">
              <w:rPr>
                <w:rFonts w:eastAsia="Times New Roman"/>
                <w:lang w:val="ro-RO" w:eastAsia="ro-MD"/>
              </w:rPr>
              <w:t xml:space="preserve">ASIG 2.1 Raport privind </w:t>
            </w:r>
            <w:proofErr w:type="spellStart"/>
            <w:r w:rsidRPr="002C794C">
              <w:rPr>
                <w:rFonts w:eastAsia="Times New Roman"/>
                <w:lang w:val="ro-RO" w:eastAsia="ro-MD"/>
              </w:rPr>
              <w:t>funcţiile</w:t>
            </w:r>
            <w:proofErr w:type="spellEnd"/>
            <w:r w:rsidRPr="002C794C">
              <w:rPr>
                <w:rFonts w:eastAsia="Times New Roman"/>
                <w:lang w:val="ro-RO" w:eastAsia="ro-MD"/>
              </w:rPr>
              <w:t xml:space="preserve"> </w:t>
            </w:r>
            <w:proofErr w:type="spellStart"/>
            <w:r w:rsidRPr="002C794C">
              <w:rPr>
                <w:rFonts w:eastAsia="Times New Roman"/>
                <w:lang w:val="ro-RO" w:eastAsia="ro-MD"/>
              </w:rPr>
              <w:t>şi</w:t>
            </w:r>
            <w:proofErr w:type="spellEnd"/>
            <w:r w:rsidRPr="002C794C">
              <w:rPr>
                <w:rFonts w:eastAsia="Times New Roman"/>
                <w:lang w:val="ro-RO" w:eastAsia="ro-MD"/>
              </w:rPr>
              <w:t xml:space="preserve"> </w:t>
            </w:r>
            <w:proofErr w:type="spellStart"/>
            <w:r w:rsidRPr="002C794C">
              <w:rPr>
                <w:rFonts w:eastAsia="Times New Roman"/>
                <w:lang w:val="ro-RO" w:eastAsia="ro-MD"/>
              </w:rPr>
              <w:t>activităţile</w:t>
            </w:r>
            <w:proofErr w:type="spellEnd"/>
            <w:r w:rsidRPr="002C794C">
              <w:rPr>
                <w:rFonts w:eastAsia="Times New Roman"/>
                <w:lang w:val="ro-RO" w:eastAsia="ro-MD"/>
              </w:rPr>
              <w:t xml:space="preserve"> </w:t>
            </w:r>
            <w:proofErr w:type="spellStart"/>
            <w:r w:rsidRPr="002C794C">
              <w:rPr>
                <w:rFonts w:eastAsia="Times New Roman"/>
                <w:lang w:val="ro-RO" w:eastAsia="ro-MD"/>
              </w:rPr>
              <w:t>externalizate</w:t>
            </w:r>
            <w:proofErr w:type="spellEnd"/>
          </w:p>
          <w:p w14:paraId="7CC3E42A" w14:textId="690B49CE" w:rsidR="00917913" w:rsidRPr="007503BF" w:rsidDel="0078700E" w:rsidRDefault="00B26A4A" w:rsidP="002C794C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d</w:t>
            </w:r>
            <w:r w:rsidR="002C794C" w:rsidRPr="002C794C">
              <w:rPr>
                <w:rFonts w:eastAsia="Times New Roman"/>
                <w:lang w:val="ro-RO" w:eastAsia="ro-MD"/>
              </w:rPr>
              <w:t xml:space="preserve">e către </w:t>
            </w:r>
            <w:proofErr w:type="spellStart"/>
            <w:r w:rsidR="002C794C" w:rsidRPr="002C794C">
              <w:rPr>
                <w:rFonts w:eastAsia="Times New Roman"/>
                <w:lang w:val="ro-RO" w:eastAsia="ro-MD"/>
              </w:rPr>
              <w:t>societăţile</w:t>
            </w:r>
            <w:proofErr w:type="spellEnd"/>
            <w:r w:rsidR="002C794C" w:rsidRPr="002C794C">
              <w:rPr>
                <w:rFonts w:eastAsia="Times New Roman"/>
                <w:lang w:val="ro-RO" w:eastAsia="ro-MD"/>
              </w:rPr>
              <w:t xml:space="preserve"> de asigurare sau de reasigurare</w:t>
            </w:r>
            <w:r w:rsidR="002C794C">
              <w:rPr>
                <w:rFonts w:eastAsia="Times New Roman"/>
                <w:lang w:val="ro-RO" w:eastAsia="ro-MD"/>
              </w:rPr>
              <w:t xml:space="preserve"> (anexă)</w:t>
            </w:r>
          </w:p>
        </w:tc>
      </w:tr>
      <w:tr w:rsidR="00CA6521" w:rsidRPr="007503BF" w14:paraId="1305F0A1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A7C7EC" w14:textId="16E062E4" w:rsidR="00CA6521" w:rsidRPr="00382A46" w:rsidRDefault="00CA6521" w:rsidP="00CA6521">
            <w:pPr>
              <w:jc w:val="center"/>
              <w:rPr>
                <w:rFonts w:eastAsia="Times New Roman"/>
                <w:lang w:eastAsia="ro-MD"/>
              </w:rPr>
            </w:pPr>
            <w:r>
              <w:rPr>
                <w:rFonts w:eastAsia="Times New Roman"/>
                <w:lang w:eastAsia="ro-MD"/>
              </w:rPr>
              <w:t>10</w:t>
            </w:r>
            <w:r w:rsidR="007D5792">
              <w:rPr>
                <w:rFonts w:eastAsia="Times New Roman"/>
                <w:lang w:eastAsia="ro-MD"/>
              </w:rPr>
              <w:t>5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AD7370" w14:textId="620E8101" w:rsidR="00CA6521" w:rsidRDefault="00CA6521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3326D33" w14:textId="7A84DD56" w:rsidR="00CA6521" w:rsidRDefault="00CA6521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asig02e02_AG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940B62" w14:textId="1D4AE6BC" w:rsidR="00CA6521" w:rsidRDefault="00CA6521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Fonduri proprii (AG)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A855783" w14:textId="70E8A7DC" w:rsidR="00CA6521" w:rsidRDefault="00CA6521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87B1D2C" w14:textId="453FD0E0" w:rsidR="00CA6521" w:rsidRPr="007503BF" w:rsidRDefault="00CA6521" w:rsidP="00CA652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</w:t>
            </w:r>
            <w:r w:rsidR="00B80612" w:rsidRPr="007503BF">
              <w:rPr>
                <w:rFonts w:eastAsia="Times New Roman"/>
                <w:lang w:val="ro-RO" w:eastAsia="ro-MD"/>
              </w:rPr>
              <w:t xml:space="preserve"> tip licență- asigurări generale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1B0B76" w14:textId="7D4F812F" w:rsidR="00CA6521" w:rsidRPr="007503BF" w:rsidRDefault="00CA6521" w:rsidP="00CA652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7A5251A" w14:textId="77777777" w:rsidR="00CA6521" w:rsidRDefault="00CA6521" w:rsidP="00CA6521">
            <w:pPr>
              <w:rPr>
                <w:rFonts w:eastAsia="Times New Roman"/>
                <w:lang w:val="ro-RO" w:eastAsia="ro-MD"/>
              </w:rPr>
            </w:pPr>
            <w:r w:rsidRPr="00CA6521">
              <w:rPr>
                <w:rFonts w:eastAsia="Times New Roman"/>
                <w:lang w:val="ro-RO" w:eastAsia="ro-MD"/>
              </w:rPr>
              <w:t>Regulamentul privind fondurile proprii, evaluarea activelor și pasivelor, activele admise pentru acoperirea rezervelor tehnice și cerinței de capital minim, solvabilitatea și lichiditatea societății de asigurare sau de reasigurare</w:t>
            </w:r>
          </w:p>
          <w:p w14:paraId="769365B0" w14:textId="7CCD10C9" w:rsidR="00CA6521" w:rsidRPr="002C794C" w:rsidRDefault="00CA6521" w:rsidP="00CA6521">
            <w:pPr>
              <w:rPr>
                <w:rFonts w:eastAsia="Times New Roman"/>
                <w:lang w:val="ro-RO" w:eastAsia="ro-MD"/>
              </w:rPr>
            </w:pPr>
            <w:proofErr w:type="spellStart"/>
            <w:r>
              <w:rPr>
                <w:rFonts w:eastAsia="Times New Roman"/>
                <w:lang w:val="ro-RO" w:eastAsia="ro-MD"/>
              </w:rPr>
              <w:t>nr.XX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/2024 (Monitorul Oficial al Republicii Moldova, 2024, </w:t>
            </w:r>
            <w:proofErr w:type="spellStart"/>
            <w:r>
              <w:rPr>
                <w:rFonts w:eastAsia="Times New Roman"/>
                <w:lang w:val="ro-RO" w:eastAsia="ro-MD"/>
              </w:rPr>
              <w:t>nr.YYY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, </w:t>
            </w:r>
            <w:proofErr w:type="spellStart"/>
            <w:r>
              <w:rPr>
                <w:rFonts w:eastAsia="Times New Roman"/>
                <w:lang w:val="ro-RO" w:eastAsia="ro-MD"/>
              </w:rPr>
              <w:t>art.ZZZ</w:t>
            </w:r>
            <w:proofErr w:type="spellEnd"/>
            <w:r>
              <w:rPr>
                <w:rFonts w:eastAsia="Times New Roman"/>
                <w:lang w:val="ro-RO" w:eastAsia="ro-MD"/>
              </w:rPr>
              <w:t>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D36465A" w14:textId="77777777" w:rsidR="006266B9" w:rsidRDefault="006266B9" w:rsidP="006266B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2.5 Raportul privind fondurile proprii (anexa nr.1)</w:t>
            </w:r>
          </w:p>
          <w:p w14:paraId="4635B15A" w14:textId="77777777" w:rsidR="006266B9" w:rsidRDefault="006266B9" w:rsidP="006266B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2.6 Raportul privind rezerva de reconciliere (anexa nr.2)</w:t>
            </w:r>
          </w:p>
          <w:p w14:paraId="14E1AE8D" w14:textId="77777777" w:rsidR="006266B9" w:rsidRDefault="006266B9" w:rsidP="006266B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2.7 Raportul privind cerința de capital minim (anexa nr.3)</w:t>
            </w:r>
          </w:p>
          <w:p w14:paraId="1FB05284" w14:textId="77777777" w:rsidR="00B80612" w:rsidRDefault="006266B9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2.9 Raportul privind marja de solvabilitate minimă</w:t>
            </w:r>
            <w:r w:rsidR="00DB35CE">
              <w:rPr>
                <w:rFonts w:eastAsia="Times New Roman"/>
                <w:lang w:val="ro-RO" w:eastAsia="ro-MD"/>
              </w:rPr>
              <w:t xml:space="preserve"> (anexa nr.5)</w:t>
            </w:r>
          </w:p>
          <w:p w14:paraId="17F046C6" w14:textId="77777777" w:rsidR="00474D74" w:rsidRDefault="00474D74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2.11 Raportul privind solvabilitatea (anexa nr.7)</w:t>
            </w:r>
          </w:p>
          <w:p w14:paraId="5C2AD54E" w14:textId="77777777" w:rsidR="00C63B9E" w:rsidRDefault="00C63B9E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2.12 Raportul privind distribuția activelor admise pentru acoperirea rezervelor tehnice (anexa nr.8)</w:t>
            </w:r>
          </w:p>
          <w:p w14:paraId="393BBE6D" w14:textId="77777777" w:rsidR="00C63B9E" w:rsidRDefault="002D5089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lastRenderedPageBreak/>
              <w:t xml:space="preserve">ASIG 2.14 </w:t>
            </w:r>
            <w:r w:rsidR="004135FA">
              <w:rPr>
                <w:rFonts w:eastAsia="Times New Roman"/>
                <w:lang w:val="ro-RO" w:eastAsia="ro-MD"/>
              </w:rPr>
              <w:t xml:space="preserve">Raportul privind distribuția activelor admise </w:t>
            </w:r>
            <w:r w:rsidR="003813F3">
              <w:rPr>
                <w:rFonts w:eastAsia="Times New Roman"/>
                <w:lang w:val="ro-RO" w:eastAsia="ro-MD"/>
              </w:rPr>
              <w:t>pentru acoperirea cerinței de capital minim (anexa nr.10)</w:t>
            </w:r>
          </w:p>
          <w:p w14:paraId="0AE690F0" w14:textId="77777777" w:rsidR="009D641C" w:rsidRDefault="009D641C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2.16 Raport privind valorile agregate privind respectarea cerințelor de acoperire cu active admise a rezervelor tehnice și cerinței de capital minim (anexa nr.12)</w:t>
            </w:r>
          </w:p>
          <w:p w14:paraId="0FB0F725" w14:textId="4D042DE6" w:rsidR="00F34372" w:rsidRPr="002C794C" w:rsidRDefault="00F34372" w:rsidP="00CA652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2.17 Raportul privind lichiditatea (anexa nr.13)</w:t>
            </w:r>
          </w:p>
        </w:tc>
      </w:tr>
      <w:tr w:rsidR="00B80612" w:rsidRPr="007503BF" w14:paraId="7E7A71D0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814CB1D" w14:textId="65EC6729" w:rsidR="00B80612" w:rsidRDefault="00B80612" w:rsidP="00B80612">
            <w:pPr>
              <w:jc w:val="center"/>
              <w:rPr>
                <w:rFonts w:eastAsia="Times New Roman"/>
                <w:lang w:eastAsia="ro-MD"/>
              </w:rPr>
            </w:pPr>
            <w:r>
              <w:rPr>
                <w:rFonts w:eastAsia="Times New Roman"/>
                <w:lang w:eastAsia="ro-MD"/>
              </w:rPr>
              <w:lastRenderedPageBreak/>
              <w:t>10</w:t>
            </w:r>
            <w:r w:rsidR="007D5792">
              <w:rPr>
                <w:rFonts w:eastAsia="Times New Roman"/>
                <w:lang w:eastAsia="ro-MD"/>
              </w:rPr>
              <w:t>6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0C0D08E" w14:textId="05715E31" w:rsidR="00B80612" w:rsidRDefault="00B80612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00DBA31" w14:textId="20C4069B" w:rsidR="00B80612" w:rsidRDefault="00B80612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asig02e02_C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9ACC524" w14:textId="696784F2" w:rsidR="00B80612" w:rsidRDefault="00B80612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Fonduri proprii (Compozit)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13B9AB" w14:textId="0229B8A9" w:rsidR="00B80612" w:rsidRDefault="00B80612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3C68274" w14:textId="72DBC9BE" w:rsidR="00B80612" w:rsidRPr="007503BF" w:rsidRDefault="00B80612" w:rsidP="00B80612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) tip licență- </w:t>
            </w:r>
            <w:r>
              <w:rPr>
                <w:rFonts w:eastAsia="Times New Roman"/>
                <w:lang w:val="ro-RO" w:eastAsia="ro-MD"/>
              </w:rPr>
              <w:t>compozit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18771DD" w14:textId="6578D74E" w:rsidR="00B80612" w:rsidRPr="007503BF" w:rsidRDefault="00B80612" w:rsidP="00B80612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7E8AA58" w14:textId="77777777" w:rsidR="00B80612" w:rsidRDefault="00B80612" w:rsidP="00B80612">
            <w:pPr>
              <w:rPr>
                <w:rFonts w:eastAsia="Times New Roman"/>
                <w:lang w:val="ro-RO" w:eastAsia="ro-MD"/>
              </w:rPr>
            </w:pPr>
            <w:r w:rsidRPr="00CA6521">
              <w:rPr>
                <w:rFonts w:eastAsia="Times New Roman"/>
                <w:lang w:val="ro-RO" w:eastAsia="ro-MD"/>
              </w:rPr>
              <w:t>Regulamentul privind fondurile proprii, evaluarea activelor și pasivelor, activele admise pentru acoperirea rezervelor tehnice și cerinței de capital minim, solvabilitatea și lichiditatea societății de asigurare sau de reasigurare</w:t>
            </w:r>
          </w:p>
          <w:p w14:paraId="4427D6F8" w14:textId="63DBD818" w:rsidR="00B80612" w:rsidRPr="00CA6521" w:rsidRDefault="00B80612" w:rsidP="00B80612">
            <w:pPr>
              <w:rPr>
                <w:rFonts w:eastAsia="Times New Roman"/>
                <w:lang w:val="ro-RO" w:eastAsia="ro-MD"/>
              </w:rPr>
            </w:pPr>
            <w:proofErr w:type="spellStart"/>
            <w:r>
              <w:rPr>
                <w:rFonts w:eastAsia="Times New Roman"/>
                <w:lang w:val="ro-RO" w:eastAsia="ro-MD"/>
              </w:rPr>
              <w:t>nr.XX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/2024 (Monitorul Oficial al Republicii Moldova, 2024, </w:t>
            </w:r>
            <w:proofErr w:type="spellStart"/>
            <w:r>
              <w:rPr>
                <w:rFonts w:eastAsia="Times New Roman"/>
                <w:lang w:val="ro-RO" w:eastAsia="ro-MD"/>
              </w:rPr>
              <w:t>nr.YYY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, </w:t>
            </w:r>
            <w:proofErr w:type="spellStart"/>
            <w:r>
              <w:rPr>
                <w:rFonts w:eastAsia="Times New Roman"/>
                <w:lang w:val="ro-RO" w:eastAsia="ro-MD"/>
              </w:rPr>
              <w:t>art.ZZZ</w:t>
            </w:r>
            <w:proofErr w:type="spellEnd"/>
            <w:r>
              <w:rPr>
                <w:rFonts w:eastAsia="Times New Roman"/>
                <w:lang w:val="ro-RO" w:eastAsia="ro-MD"/>
              </w:rPr>
              <w:t>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3FE00AA" w14:textId="77777777" w:rsidR="00B80612" w:rsidRDefault="00B80612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2.5 Raportul privind fondurile proprii (anexa nr.1)</w:t>
            </w:r>
          </w:p>
          <w:p w14:paraId="426C3B78" w14:textId="424B7BB5" w:rsidR="00B80612" w:rsidRDefault="00B80612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 xml:space="preserve">ASIG </w:t>
            </w:r>
            <w:r w:rsidR="00F246DB">
              <w:rPr>
                <w:rFonts w:eastAsia="Times New Roman"/>
                <w:lang w:val="ro-RO" w:eastAsia="ro-MD"/>
              </w:rPr>
              <w:t xml:space="preserve">2.6 </w:t>
            </w:r>
            <w:r w:rsidR="00AB7BF7">
              <w:rPr>
                <w:rFonts w:eastAsia="Times New Roman"/>
                <w:lang w:val="ro-RO" w:eastAsia="ro-MD"/>
              </w:rPr>
              <w:t>Raportul privind rezerva de reconciliere (anexa nr.2)</w:t>
            </w:r>
          </w:p>
          <w:p w14:paraId="5E2E3053" w14:textId="35E86AA5" w:rsidR="00AB7BF7" w:rsidRDefault="00241806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</w:t>
            </w:r>
            <w:r w:rsidR="006266B9">
              <w:rPr>
                <w:rFonts w:eastAsia="Times New Roman"/>
                <w:lang w:val="ro-RO" w:eastAsia="ro-MD"/>
              </w:rPr>
              <w:t>8</w:t>
            </w:r>
            <w:r>
              <w:rPr>
                <w:rFonts w:eastAsia="Times New Roman"/>
                <w:lang w:val="ro-RO" w:eastAsia="ro-MD"/>
              </w:rPr>
              <w:t xml:space="preserve"> </w:t>
            </w:r>
            <w:r w:rsidR="00CD6553">
              <w:rPr>
                <w:rFonts w:eastAsia="Times New Roman"/>
                <w:lang w:val="ro-RO" w:eastAsia="ro-MD"/>
              </w:rPr>
              <w:t xml:space="preserve">Raportul privind </w:t>
            </w:r>
            <w:r>
              <w:rPr>
                <w:rFonts w:eastAsia="Times New Roman"/>
                <w:lang w:val="ro-RO" w:eastAsia="ro-MD"/>
              </w:rPr>
              <w:t>cerinț</w:t>
            </w:r>
            <w:r w:rsidR="00CD6553">
              <w:rPr>
                <w:rFonts w:eastAsia="Times New Roman"/>
                <w:lang w:val="ro-RO" w:eastAsia="ro-MD"/>
              </w:rPr>
              <w:t>a</w:t>
            </w:r>
            <w:r>
              <w:rPr>
                <w:rFonts w:eastAsia="Times New Roman"/>
                <w:lang w:val="ro-RO" w:eastAsia="ro-MD"/>
              </w:rPr>
              <w:t xml:space="preserve"> de capital minim (anexa nr.</w:t>
            </w:r>
            <w:r w:rsidR="006266B9">
              <w:rPr>
                <w:rFonts w:eastAsia="Times New Roman"/>
                <w:lang w:val="ro-RO" w:eastAsia="ro-MD"/>
              </w:rPr>
              <w:t>4</w:t>
            </w:r>
            <w:r>
              <w:rPr>
                <w:rFonts w:eastAsia="Times New Roman"/>
                <w:lang w:val="ro-RO" w:eastAsia="ro-MD"/>
              </w:rPr>
              <w:t>)</w:t>
            </w:r>
          </w:p>
          <w:p w14:paraId="6529AAFF" w14:textId="78C78609" w:rsidR="006266B9" w:rsidRDefault="006F1316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2.10 Raportul privind marja de solvabilitate minimă (anexa nr.6)</w:t>
            </w:r>
          </w:p>
          <w:p w14:paraId="3A41ACD9" w14:textId="57C9B587" w:rsidR="006266B9" w:rsidRDefault="00E957C9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2.11 Raportul privind solvabilitatea (anexa nr.7)</w:t>
            </w:r>
          </w:p>
          <w:p w14:paraId="416693F6" w14:textId="65E9B979" w:rsidR="00C63B9E" w:rsidRDefault="00C63B9E" w:rsidP="00C63B9E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2.13 Raportul privind distribuția activelor admise pentru acoperirea rezervelor tehnice (anexa nr.9)</w:t>
            </w:r>
          </w:p>
          <w:p w14:paraId="177E150D" w14:textId="18BB741D" w:rsidR="00241806" w:rsidRDefault="003813F3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 xml:space="preserve">ASIG 2.15 Raportul privind distribuția activelor admise pentru </w:t>
            </w:r>
            <w:r>
              <w:rPr>
                <w:rFonts w:eastAsia="Times New Roman"/>
                <w:lang w:val="ro-RO" w:eastAsia="ro-MD"/>
              </w:rPr>
              <w:lastRenderedPageBreak/>
              <w:t>acoperirea cerinței de capital minim (anexa nr.11)</w:t>
            </w:r>
          </w:p>
          <w:p w14:paraId="116ED343" w14:textId="5BAECFDD" w:rsidR="009D641C" w:rsidRDefault="009D641C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2.16 Raport privind valorile agregate privind respectarea cerințelor de acoperire cu active admise a rezervelor tehnice și cerinței de capital minim (anexa nr.12)</w:t>
            </w:r>
          </w:p>
          <w:p w14:paraId="5B224901" w14:textId="4B797C18" w:rsidR="00F34372" w:rsidRDefault="00F34372" w:rsidP="00B80612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2.18 Raport privind lichiditatea (anexa nr.14)</w:t>
            </w:r>
          </w:p>
          <w:p w14:paraId="3E3C7A32" w14:textId="77777777" w:rsidR="009D641C" w:rsidRDefault="009D641C" w:rsidP="00B80612">
            <w:pPr>
              <w:rPr>
                <w:rFonts w:eastAsia="Times New Roman"/>
                <w:lang w:val="ro-RO" w:eastAsia="ro-MD"/>
              </w:rPr>
            </w:pPr>
          </w:p>
          <w:p w14:paraId="476EBDF6" w14:textId="77777777" w:rsidR="00B80612" w:rsidRDefault="00B80612" w:rsidP="00B80612">
            <w:pPr>
              <w:rPr>
                <w:rFonts w:eastAsia="Times New Roman"/>
                <w:lang w:val="ro-RO" w:eastAsia="ro-MD"/>
              </w:rPr>
            </w:pPr>
          </w:p>
        </w:tc>
      </w:tr>
      <w:tr w:rsidR="006F481B" w:rsidRPr="007503BF" w14:paraId="3B1195C2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5044B73" w14:textId="1E0DBBDC" w:rsidR="006F481B" w:rsidRDefault="006F481B" w:rsidP="006F481B">
            <w:pPr>
              <w:jc w:val="center"/>
              <w:rPr>
                <w:rFonts w:eastAsia="Times New Roman"/>
                <w:lang w:eastAsia="ro-MD"/>
              </w:rPr>
            </w:pPr>
            <w:r>
              <w:rPr>
                <w:rFonts w:eastAsia="Times New Roman"/>
                <w:lang w:eastAsia="ro-MD"/>
              </w:rPr>
              <w:lastRenderedPageBreak/>
              <w:t>10</w:t>
            </w:r>
            <w:r w:rsidR="007D5792">
              <w:rPr>
                <w:rFonts w:eastAsia="Times New Roman"/>
                <w:lang w:eastAsia="ro-MD"/>
              </w:rPr>
              <w:t>7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0CF2F9A" w14:textId="66D4B2A8" w:rsidR="006F481B" w:rsidRDefault="006F481B" w:rsidP="006F481B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6202F6" w14:textId="3176F675" w:rsidR="006F481B" w:rsidRDefault="006F481B" w:rsidP="006F481B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asig02e03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184CF1" w14:textId="6FF3AB99" w:rsidR="006F481B" w:rsidRDefault="006F481B" w:rsidP="006F481B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Registrul litigii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4C8E84" w14:textId="54C60A3A" w:rsidR="006F481B" w:rsidRDefault="006F481B" w:rsidP="006F481B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045D67" w14:textId="47025724" w:rsidR="006F481B" w:rsidRPr="007503BF" w:rsidRDefault="006F481B" w:rsidP="006F481B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)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803793" w14:textId="5F3F19BD" w:rsidR="006F481B" w:rsidRPr="007503BF" w:rsidRDefault="006F481B" w:rsidP="006F481B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2CB4805" w14:textId="77777777" w:rsidR="006F481B" w:rsidRDefault="006F481B" w:rsidP="006F481B">
            <w:pPr>
              <w:rPr>
                <w:rFonts w:eastAsia="Times New Roman"/>
                <w:lang w:val="ro-RO" w:eastAsia="ro-MD"/>
              </w:rPr>
            </w:pPr>
            <w:r w:rsidRPr="00CA6521">
              <w:rPr>
                <w:rFonts w:eastAsia="Times New Roman"/>
                <w:lang w:val="ro-RO" w:eastAsia="ro-MD"/>
              </w:rPr>
              <w:t>Regulamentul privind fondurile proprii, evaluarea activelor și pasivelor, activele admise pentru acoperirea rezervelor tehnice și cerinței de capital minim, solvabilitatea și lichiditatea societății de asigurare sau de reasigurare</w:t>
            </w:r>
          </w:p>
          <w:p w14:paraId="70E0BF51" w14:textId="40D6219C" w:rsidR="006F481B" w:rsidRPr="00CA6521" w:rsidRDefault="006F481B" w:rsidP="006F481B">
            <w:pPr>
              <w:rPr>
                <w:rFonts w:eastAsia="Times New Roman"/>
                <w:lang w:val="ro-RO" w:eastAsia="ro-MD"/>
              </w:rPr>
            </w:pPr>
            <w:proofErr w:type="spellStart"/>
            <w:r>
              <w:rPr>
                <w:rFonts w:eastAsia="Times New Roman"/>
                <w:lang w:val="ro-RO" w:eastAsia="ro-MD"/>
              </w:rPr>
              <w:t>nr.XX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/2024 (Monitorul Oficial al Republicii Moldova, 2024, </w:t>
            </w:r>
            <w:proofErr w:type="spellStart"/>
            <w:r>
              <w:rPr>
                <w:rFonts w:eastAsia="Times New Roman"/>
                <w:lang w:val="ro-RO" w:eastAsia="ro-MD"/>
              </w:rPr>
              <w:t>nr.YYY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, </w:t>
            </w:r>
            <w:proofErr w:type="spellStart"/>
            <w:r>
              <w:rPr>
                <w:rFonts w:eastAsia="Times New Roman"/>
                <w:lang w:val="ro-RO" w:eastAsia="ro-MD"/>
              </w:rPr>
              <w:t>art.ZZZ</w:t>
            </w:r>
            <w:proofErr w:type="spellEnd"/>
            <w:r>
              <w:rPr>
                <w:rFonts w:eastAsia="Times New Roman"/>
                <w:lang w:val="ro-RO" w:eastAsia="ro-MD"/>
              </w:rPr>
              <w:t>) (anexa nr.15)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187A1D" w14:textId="414229C9" w:rsidR="006F481B" w:rsidRDefault="006E74FB" w:rsidP="006E74FB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 xml:space="preserve">ASIG 2.19 </w:t>
            </w:r>
            <w:r w:rsidRPr="006E74FB">
              <w:rPr>
                <w:rFonts w:eastAsia="Times New Roman"/>
                <w:lang w:val="ro-RO" w:eastAsia="ro-MD"/>
              </w:rPr>
              <w:t>Registrul litigiilor aflate în curs de examinare pe rolul</w:t>
            </w:r>
            <w:r>
              <w:rPr>
                <w:rFonts w:eastAsia="Times New Roman"/>
                <w:lang w:val="ro-RO" w:eastAsia="ro-MD"/>
              </w:rPr>
              <w:t xml:space="preserve"> </w:t>
            </w:r>
            <w:r w:rsidRPr="006E74FB">
              <w:rPr>
                <w:rFonts w:eastAsia="Times New Roman"/>
                <w:lang w:val="ro-RO" w:eastAsia="ro-MD"/>
              </w:rPr>
              <w:t xml:space="preserve">instanțelor de judecată, pentru care societatea de </w:t>
            </w:r>
            <w:r>
              <w:rPr>
                <w:rFonts w:eastAsia="Times New Roman"/>
                <w:lang w:val="ro-RO" w:eastAsia="ro-MD"/>
              </w:rPr>
              <w:t>a</w:t>
            </w:r>
            <w:r w:rsidRPr="006E74FB">
              <w:rPr>
                <w:rFonts w:eastAsia="Times New Roman"/>
                <w:lang w:val="ro-RO" w:eastAsia="ro-MD"/>
              </w:rPr>
              <w:t>sigurare sau de reasigurare are calitatea de pârât</w:t>
            </w:r>
            <w:r w:rsidR="00984AA6">
              <w:rPr>
                <w:rFonts w:eastAsia="Times New Roman"/>
                <w:lang w:val="ro-RO" w:eastAsia="ro-MD"/>
              </w:rPr>
              <w:t xml:space="preserve"> (anexa nr.15)</w:t>
            </w:r>
          </w:p>
        </w:tc>
      </w:tr>
      <w:tr w:rsidR="00181329" w:rsidRPr="007503BF" w14:paraId="6D1D40D7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46B7C8" w14:textId="2460473B" w:rsidR="00181329" w:rsidRDefault="00181329" w:rsidP="00181329">
            <w:pPr>
              <w:jc w:val="center"/>
              <w:rPr>
                <w:rFonts w:eastAsia="Times New Roman"/>
                <w:lang w:eastAsia="ro-MD"/>
              </w:rPr>
            </w:pPr>
            <w:r>
              <w:rPr>
                <w:rFonts w:eastAsia="Times New Roman"/>
                <w:lang w:eastAsia="ro-MD"/>
              </w:rPr>
              <w:t>1</w:t>
            </w:r>
            <w:r w:rsidR="007D5792">
              <w:rPr>
                <w:rFonts w:eastAsia="Times New Roman"/>
                <w:lang w:eastAsia="ro-MD"/>
              </w:rPr>
              <w:t>08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053020" w14:textId="7B8A7F8A" w:rsidR="00181329" w:rsidRDefault="00181329" w:rsidP="0018132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140581" w14:textId="4728179F" w:rsidR="00181329" w:rsidRDefault="00181329" w:rsidP="0018132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asig02e0</w:t>
            </w:r>
            <w:r w:rsidR="00F95AB6">
              <w:rPr>
                <w:rFonts w:eastAsia="Times New Roman"/>
                <w:lang w:val="ro-RO" w:eastAsia="ro-MD"/>
              </w:rPr>
              <w:t>4</w:t>
            </w:r>
            <w:r>
              <w:rPr>
                <w:rFonts w:eastAsia="Times New Roman"/>
                <w:lang w:val="ro-RO" w:eastAsia="ro-MD"/>
              </w:rPr>
              <w:t>_AG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240372" w14:textId="25A4D293" w:rsidR="00181329" w:rsidRDefault="00181329" w:rsidP="0018132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Registrul special al activelor (AG)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A52799" w14:textId="5480F52C" w:rsidR="00181329" w:rsidRDefault="00181329" w:rsidP="0018132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ECE3BD" w14:textId="724A8ACC" w:rsidR="00181329" w:rsidRPr="007503BF" w:rsidRDefault="00181329" w:rsidP="0018132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 tip licență- asigurări generale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4E98441" w14:textId="30BBB0F1" w:rsidR="00181329" w:rsidRPr="007503BF" w:rsidRDefault="00181329" w:rsidP="00181329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B7FD8B5" w14:textId="77777777" w:rsidR="00181329" w:rsidRDefault="00181329" w:rsidP="00181329">
            <w:pPr>
              <w:rPr>
                <w:rFonts w:eastAsia="Times New Roman"/>
                <w:lang w:val="ro-RO" w:eastAsia="ro-MD"/>
              </w:rPr>
            </w:pPr>
            <w:r w:rsidRPr="00CA6521">
              <w:rPr>
                <w:rFonts w:eastAsia="Times New Roman"/>
                <w:lang w:val="ro-RO" w:eastAsia="ro-MD"/>
              </w:rPr>
              <w:t xml:space="preserve">Regulamentul privind fondurile proprii, evaluarea activelor și pasivelor, activele admise pentru acoperirea rezervelor tehnice și cerinței de capital </w:t>
            </w:r>
            <w:r w:rsidRPr="00CA6521">
              <w:rPr>
                <w:rFonts w:eastAsia="Times New Roman"/>
                <w:lang w:val="ro-RO" w:eastAsia="ro-MD"/>
              </w:rPr>
              <w:lastRenderedPageBreak/>
              <w:t>minim, solvabilitatea și lichiditatea societății de asigurare sau de reasigurare</w:t>
            </w:r>
          </w:p>
          <w:p w14:paraId="1D838D1B" w14:textId="587E73CE" w:rsidR="00181329" w:rsidRPr="00CA6521" w:rsidRDefault="00181329" w:rsidP="00181329">
            <w:pPr>
              <w:rPr>
                <w:rFonts w:eastAsia="Times New Roman"/>
                <w:lang w:val="ro-RO" w:eastAsia="ro-MD"/>
              </w:rPr>
            </w:pPr>
            <w:proofErr w:type="spellStart"/>
            <w:r>
              <w:rPr>
                <w:rFonts w:eastAsia="Times New Roman"/>
                <w:lang w:val="ro-RO" w:eastAsia="ro-MD"/>
              </w:rPr>
              <w:t>nr.XX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/2024 (Monitorul Oficial al Republicii Moldova, 2024, </w:t>
            </w:r>
            <w:proofErr w:type="spellStart"/>
            <w:r>
              <w:rPr>
                <w:rFonts w:eastAsia="Times New Roman"/>
                <w:lang w:val="ro-RO" w:eastAsia="ro-MD"/>
              </w:rPr>
              <w:t>nr.YYY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, </w:t>
            </w:r>
            <w:proofErr w:type="spellStart"/>
            <w:r>
              <w:rPr>
                <w:rFonts w:eastAsia="Times New Roman"/>
                <w:lang w:val="ro-RO" w:eastAsia="ro-MD"/>
              </w:rPr>
              <w:t>art.ZZZ</w:t>
            </w:r>
            <w:proofErr w:type="spellEnd"/>
            <w:r>
              <w:rPr>
                <w:rFonts w:eastAsia="Times New Roman"/>
                <w:lang w:val="ro-RO" w:eastAsia="ro-MD"/>
              </w:rPr>
              <w:t>)</w:t>
            </w:r>
            <w:r w:rsidR="00DF0F5A">
              <w:rPr>
                <w:rFonts w:eastAsia="Times New Roman"/>
                <w:lang w:val="ro-RO" w:eastAsia="ro-MD"/>
              </w:rPr>
              <w:t xml:space="preserve"> (anexa nr.20)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C906F8" w14:textId="08A6F0BB" w:rsidR="00181329" w:rsidRDefault="00DF0F5A" w:rsidP="00181329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lastRenderedPageBreak/>
              <w:t xml:space="preserve">ASIG 2.20A </w:t>
            </w:r>
            <w:r w:rsidR="007A215C" w:rsidRPr="007A215C">
              <w:rPr>
                <w:rFonts w:eastAsia="Times New Roman"/>
                <w:lang w:val="ro-RO" w:eastAsia="ro-MD"/>
              </w:rPr>
              <w:t>Registrul special al activelor admise pentru acoperirea rezervelor tehnice și a cerinței de capital minim</w:t>
            </w:r>
            <w:r w:rsidR="007A215C">
              <w:rPr>
                <w:rFonts w:eastAsia="Times New Roman"/>
                <w:lang w:val="ro-RO" w:eastAsia="ro-MD"/>
              </w:rPr>
              <w:t xml:space="preserve"> (anexa nr.20</w:t>
            </w:r>
            <w:r w:rsidR="000E41FA">
              <w:rPr>
                <w:rFonts w:eastAsia="Times New Roman"/>
                <w:lang w:val="ro-RO" w:eastAsia="ro-MD"/>
              </w:rPr>
              <w:t>, formularul ASIG0220A</w:t>
            </w:r>
            <w:r w:rsidR="007A215C">
              <w:rPr>
                <w:rFonts w:eastAsia="Times New Roman"/>
                <w:lang w:val="ro-RO" w:eastAsia="ro-MD"/>
              </w:rPr>
              <w:t>)</w:t>
            </w:r>
          </w:p>
        </w:tc>
      </w:tr>
      <w:tr w:rsidR="00006CEA" w:rsidRPr="007503BF" w14:paraId="1FC2AB31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B465FB2" w14:textId="21A467C8" w:rsidR="00006CEA" w:rsidRDefault="00006CEA" w:rsidP="00006CEA">
            <w:pPr>
              <w:jc w:val="center"/>
              <w:rPr>
                <w:rFonts w:eastAsia="Times New Roman"/>
                <w:lang w:eastAsia="ro-MD"/>
              </w:rPr>
            </w:pPr>
            <w:r>
              <w:rPr>
                <w:rFonts w:eastAsia="Times New Roman"/>
                <w:lang w:eastAsia="ro-MD"/>
              </w:rPr>
              <w:t>1</w:t>
            </w:r>
            <w:r w:rsidR="007D5792">
              <w:rPr>
                <w:rFonts w:eastAsia="Times New Roman"/>
                <w:lang w:eastAsia="ro-MD"/>
              </w:rPr>
              <w:t>09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5D22407" w14:textId="605AA7A0" w:rsidR="00006CEA" w:rsidRDefault="00006CEA" w:rsidP="00006CE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BCFDC1" w14:textId="76BC675F" w:rsidR="00006CEA" w:rsidRDefault="00006CEA" w:rsidP="00006CE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asig02e04_C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5FAD74" w14:textId="1F26A8F3" w:rsidR="00006CEA" w:rsidRDefault="00006CEA" w:rsidP="00006CE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Registrul special al activelor (Compozit)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B8E1AE6" w14:textId="620874CA" w:rsidR="00006CEA" w:rsidRDefault="00006CEA" w:rsidP="00006CE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5AAC8A4" w14:textId="7975659C" w:rsidR="00006CEA" w:rsidRPr="007503BF" w:rsidRDefault="00006CEA" w:rsidP="00006CE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) tip licență- </w:t>
            </w:r>
            <w:r>
              <w:rPr>
                <w:rFonts w:eastAsia="Times New Roman"/>
                <w:lang w:val="ro-RO" w:eastAsia="ro-MD"/>
              </w:rPr>
              <w:t>compozit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3E00263" w14:textId="27C81805" w:rsidR="00006CEA" w:rsidRPr="007503BF" w:rsidRDefault="00006CEA" w:rsidP="00006CEA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Portal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4E4584" w14:textId="77777777" w:rsidR="00006CEA" w:rsidRDefault="00006CEA" w:rsidP="00006CEA">
            <w:pPr>
              <w:rPr>
                <w:rFonts w:eastAsia="Times New Roman"/>
                <w:lang w:val="ro-RO" w:eastAsia="ro-MD"/>
              </w:rPr>
            </w:pPr>
            <w:r w:rsidRPr="00CA6521">
              <w:rPr>
                <w:rFonts w:eastAsia="Times New Roman"/>
                <w:lang w:val="ro-RO" w:eastAsia="ro-MD"/>
              </w:rPr>
              <w:t>Regulamentul privind fondurile proprii, evaluarea activelor și pasivelor, activele admise pentru acoperirea rezervelor tehnice și cerinței de capital minim, solvabilitatea și lichiditatea societății de asigurare sau de reasigurare</w:t>
            </w:r>
          </w:p>
          <w:p w14:paraId="03C85C65" w14:textId="6BCEDE54" w:rsidR="00006CEA" w:rsidRPr="00CA6521" w:rsidRDefault="00006CEA" w:rsidP="00006CEA">
            <w:pPr>
              <w:rPr>
                <w:rFonts w:eastAsia="Times New Roman"/>
                <w:lang w:val="ro-RO" w:eastAsia="ro-MD"/>
              </w:rPr>
            </w:pPr>
            <w:proofErr w:type="spellStart"/>
            <w:r>
              <w:rPr>
                <w:rFonts w:eastAsia="Times New Roman"/>
                <w:lang w:val="ro-RO" w:eastAsia="ro-MD"/>
              </w:rPr>
              <w:t>nr.XX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/2024 (Monitorul Oficial al Republicii Moldova, 2024, </w:t>
            </w:r>
            <w:proofErr w:type="spellStart"/>
            <w:r>
              <w:rPr>
                <w:rFonts w:eastAsia="Times New Roman"/>
                <w:lang w:val="ro-RO" w:eastAsia="ro-MD"/>
              </w:rPr>
              <w:t>nr.YYY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, </w:t>
            </w:r>
            <w:proofErr w:type="spellStart"/>
            <w:r>
              <w:rPr>
                <w:rFonts w:eastAsia="Times New Roman"/>
                <w:lang w:val="ro-RO" w:eastAsia="ro-MD"/>
              </w:rPr>
              <w:t>art.ZZZ</w:t>
            </w:r>
            <w:proofErr w:type="spellEnd"/>
            <w:r>
              <w:rPr>
                <w:rFonts w:eastAsia="Times New Roman"/>
                <w:lang w:val="ro-RO" w:eastAsia="ro-MD"/>
              </w:rPr>
              <w:t>) (anexa nr.21)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88D4CA8" w14:textId="34CE35EE" w:rsidR="00006CEA" w:rsidRDefault="00006CEA" w:rsidP="00006CEA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2.2</w:t>
            </w:r>
            <w:r w:rsidR="005133CC">
              <w:rPr>
                <w:rFonts w:eastAsia="Times New Roman"/>
                <w:lang w:val="ro-RO" w:eastAsia="ro-MD"/>
              </w:rPr>
              <w:t>1A</w:t>
            </w:r>
            <w:r>
              <w:rPr>
                <w:rFonts w:eastAsia="Times New Roman"/>
                <w:lang w:val="ro-RO" w:eastAsia="ro-MD"/>
              </w:rPr>
              <w:t xml:space="preserve"> </w:t>
            </w:r>
            <w:r w:rsidRPr="007A215C">
              <w:rPr>
                <w:rFonts w:eastAsia="Times New Roman"/>
                <w:lang w:val="ro-RO" w:eastAsia="ro-MD"/>
              </w:rPr>
              <w:t>Registrul special al activelor admise pentru acoperirea rezervelor tehnice și a cerinței de capital minim</w:t>
            </w:r>
            <w:r>
              <w:rPr>
                <w:rFonts w:eastAsia="Times New Roman"/>
                <w:lang w:val="ro-RO" w:eastAsia="ro-MD"/>
              </w:rPr>
              <w:t xml:space="preserve"> (anexa nr.2</w:t>
            </w:r>
            <w:r w:rsidR="00BF0E78">
              <w:rPr>
                <w:rFonts w:eastAsia="Times New Roman"/>
                <w:lang w:val="ro-RO" w:eastAsia="ro-MD"/>
              </w:rPr>
              <w:t>1</w:t>
            </w:r>
            <w:r w:rsidR="000E41FA">
              <w:rPr>
                <w:rFonts w:eastAsia="Times New Roman"/>
                <w:lang w:val="ro-RO" w:eastAsia="ro-MD"/>
              </w:rPr>
              <w:t>, formularul ASIG0221A</w:t>
            </w:r>
            <w:r>
              <w:rPr>
                <w:rFonts w:eastAsia="Times New Roman"/>
                <w:lang w:val="ro-RO" w:eastAsia="ro-MD"/>
              </w:rPr>
              <w:t>)</w:t>
            </w:r>
          </w:p>
        </w:tc>
      </w:tr>
      <w:tr w:rsidR="000434A1" w:rsidRPr="007503BF" w14:paraId="468565E5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120B226" w14:textId="67C9F75A" w:rsidR="000434A1" w:rsidRDefault="000434A1" w:rsidP="000434A1">
            <w:pPr>
              <w:jc w:val="center"/>
              <w:rPr>
                <w:rFonts w:eastAsia="Times New Roman"/>
                <w:lang w:eastAsia="ro-MD"/>
              </w:rPr>
            </w:pPr>
            <w:r>
              <w:rPr>
                <w:rFonts w:eastAsia="Times New Roman"/>
                <w:lang w:eastAsia="ro-MD"/>
              </w:rPr>
              <w:t>11</w:t>
            </w:r>
            <w:r w:rsidR="007D5792">
              <w:rPr>
                <w:rFonts w:eastAsia="Times New Roman"/>
                <w:lang w:eastAsia="ro-MD"/>
              </w:rPr>
              <w:t>0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E5F598A" w14:textId="7A8FB8DA" w:rsidR="000434A1" w:rsidRDefault="000434A1" w:rsidP="000434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FABA34" w14:textId="6721EC92" w:rsidR="000434A1" w:rsidRDefault="000434A1" w:rsidP="000434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asig02e05</w:t>
            </w:r>
            <w:r w:rsidR="00A04F84">
              <w:rPr>
                <w:rFonts w:eastAsia="Times New Roman"/>
                <w:lang w:val="ro-RO" w:eastAsia="ro-MD"/>
              </w:rPr>
              <w:t>_AG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FC64A22" w14:textId="4423FD94" w:rsidR="000434A1" w:rsidRDefault="00A04F84" w:rsidP="000434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Creanțele primelor subscrise</w:t>
            </w:r>
            <w:r w:rsidR="000434A1">
              <w:rPr>
                <w:rFonts w:eastAsia="Times New Roman"/>
                <w:lang w:val="ro-RO" w:eastAsia="ro-MD"/>
              </w:rPr>
              <w:t xml:space="preserve"> (AG)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516F442" w14:textId="0491D7C7" w:rsidR="000434A1" w:rsidRDefault="000434A1" w:rsidP="000434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CA57633" w14:textId="6A0FA38A" w:rsidR="000434A1" w:rsidRPr="007503BF" w:rsidRDefault="000434A1" w:rsidP="000434A1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>) tip licență- asigurări generale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B43D7F" w14:textId="16A3E2DA" w:rsidR="000434A1" w:rsidRPr="007503BF" w:rsidRDefault="00700A5B" w:rsidP="000434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MT</w:t>
            </w:r>
            <w:r w:rsidR="000434A1" w:rsidRPr="007503BF">
              <w:rPr>
                <w:rFonts w:eastAsia="Times New Roman"/>
                <w:lang w:val="ro-RO" w:eastAsia="ro-MD"/>
              </w:rPr>
              <w:t xml:space="preserve">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1F38681" w14:textId="77777777" w:rsidR="000434A1" w:rsidRDefault="000434A1" w:rsidP="000434A1">
            <w:pPr>
              <w:rPr>
                <w:rFonts w:eastAsia="Times New Roman"/>
                <w:lang w:val="ro-RO" w:eastAsia="ro-MD"/>
              </w:rPr>
            </w:pPr>
            <w:r w:rsidRPr="00CA6521">
              <w:rPr>
                <w:rFonts w:eastAsia="Times New Roman"/>
                <w:lang w:val="ro-RO" w:eastAsia="ro-MD"/>
              </w:rPr>
              <w:t>Regulamentul privind fondurile proprii, evaluarea activelor și pasivelor, activele admise pentru acoperirea rezervelor tehnice și cerinței de capital minim, solvabilitatea și lichiditatea societății de asigurare sau de reasigurare</w:t>
            </w:r>
          </w:p>
          <w:p w14:paraId="17A8091B" w14:textId="567BDF19" w:rsidR="000434A1" w:rsidRPr="00CA6521" w:rsidRDefault="000434A1" w:rsidP="000434A1">
            <w:pPr>
              <w:rPr>
                <w:rFonts w:eastAsia="Times New Roman"/>
                <w:lang w:val="ro-RO" w:eastAsia="ro-MD"/>
              </w:rPr>
            </w:pPr>
            <w:proofErr w:type="spellStart"/>
            <w:r>
              <w:rPr>
                <w:rFonts w:eastAsia="Times New Roman"/>
                <w:lang w:val="ro-RO" w:eastAsia="ro-MD"/>
              </w:rPr>
              <w:t>nr.XX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/2024 (Monitorul Oficial al Republicii </w:t>
            </w:r>
            <w:r>
              <w:rPr>
                <w:rFonts w:eastAsia="Times New Roman"/>
                <w:lang w:val="ro-RO" w:eastAsia="ro-MD"/>
              </w:rPr>
              <w:lastRenderedPageBreak/>
              <w:t xml:space="preserve">Moldova, 2024, </w:t>
            </w:r>
            <w:proofErr w:type="spellStart"/>
            <w:r>
              <w:rPr>
                <w:rFonts w:eastAsia="Times New Roman"/>
                <w:lang w:val="ro-RO" w:eastAsia="ro-MD"/>
              </w:rPr>
              <w:t>nr.YYY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, </w:t>
            </w:r>
            <w:proofErr w:type="spellStart"/>
            <w:r>
              <w:rPr>
                <w:rFonts w:eastAsia="Times New Roman"/>
                <w:lang w:val="ro-RO" w:eastAsia="ro-MD"/>
              </w:rPr>
              <w:t>art.ZZZ</w:t>
            </w:r>
            <w:proofErr w:type="spellEnd"/>
            <w:r>
              <w:rPr>
                <w:rFonts w:eastAsia="Times New Roman"/>
                <w:lang w:val="ro-RO" w:eastAsia="ro-MD"/>
              </w:rPr>
              <w:t>) (anexa nr.20)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720DBA" w14:textId="788A658E" w:rsidR="000434A1" w:rsidRDefault="000434A1" w:rsidP="000434A1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lastRenderedPageBreak/>
              <w:t>ASIG 2.20</w:t>
            </w:r>
            <w:r w:rsidR="003F1705">
              <w:rPr>
                <w:rFonts w:eastAsia="Times New Roman"/>
                <w:lang w:val="ro-RO" w:eastAsia="ro-MD"/>
              </w:rPr>
              <w:t>B</w:t>
            </w:r>
            <w:r>
              <w:rPr>
                <w:rFonts w:eastAsia="Times New Roman"/>
                <w:lang w:val="ro-RO" w:eastAsia="ro-MD"/>
              </w:rPr>
              <w:t xml:space="preserve"> </w:t>
            </w:r>
            <w:r w:rsidR="003F1705">
              <w:rPr>
                <w:rFonts w:eastAsia="Times New Roman"/>
                <w:lang w:val="ro-RO" w:eastAsia="ro-MD"/>
              </w:rPr>
              <w:t xml:space="preserve">Creanțele aferente primelor subscrise </w:t>
            </w:r>
            <w:r>
              <w:rPr>
                <w:rFonts w:eastAsia="Times New Roman"/>
                <w:lang w:val="ro-RO" w:eastAsia="ro-MD"/>
              </w:rPr>
              <w:t>(anexa nr.20, formularul ASIG0220</w:t>
            </w:r>
            <w:r w:rsidR="00A04F84">
              <w:rPr>
                <w:rFonts w:eastAsia="Times New Roman"/>
                <w:lang w:val="ro-RO" w:eastAsia="ro-MD"/>
              </w:rPr>
              <w:t>B</w:t>
            </w:r>
            <w:r>
              <w:rPr>
                <w:rFonts w:eastAsia="Times New Roman"/>
                <w:lang w:val="ro-RO" w:eastAsia="ro-MD"/>
              </w:rPr>
              <w:t>)</w:t>
            </w:r>
          </w:p>
        </w:tc>
      </w:tr>
      <w:tr w:rsidR="00D74900" w:rsidRPr="007503BF" w14:paraId="41842F79" w14:textId="77777777" w:rsidTr="00E44F14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21A924D" w14:textId="51552734" w:rsidR="00D74900" w:rsidRDefault="00D74900" w:rsidP="00D74900">
            <w:pPr>
              <w:jc w:val="center"/>
              <w:rPr>
                <w:rFonts w:eastAsia="Times New Roman"/>
                <w:lang w:eastAsia="ro-MD"/>
              </w:rPr>
            </w:pPr>
            <w:r>
              <w:rPr>
                <w:rFonts w:eastAsia="Times New Roman"/>
                <w:lang w:eastAsia="ro-MD"/>
              </w:rPr>
              <w:t>11</w:t>
            </w:r>
            <w:r w:rsidR="007D5792">
              <w:rPr>
                <w:rFonts w:eastAsia="Times New Roman"/>
                <w:lang w:eastAsia="ro-MD"/>
              </w:rPr>
              <w:t>1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06B4BA4" w14:textId="2B004CB4" w:rsidR="00D74900" w:rsidRDefault="00D74900" w:rsidP="00D74900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F41D135" w14:textId="2A040E58" w:rsidR="00D74900" w:rsidRDefault="00D74900" w:rsidP="00D74900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asig02e05</w:t>
            </w:r>
            <w:r w:rsidR="00A04F84">
              <w:rPr>
                <w:rFonts w:eastAsia="Times New Roman"/>
                <w:lang w:val="ro-RO" w:eastAsia="ro-MD"/>
              </w:rPr>
              <w:t>_C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B03B731" w14:textId="1E59CD0F" w:rsidR="00D74900" w:rsidRDefault="00A04F84" w:rsidP="00D74900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 xml:space="preserve">Creanțele primelor subscrise </w:t>
            </w:r>
            <w:r w:rsidR="00D74900">
              <w:rPr>
                <w:rFonts w:eastAsia="Times New Roman"/>
                <w:lang w:val="ro-RO" w:eastAsia="ro-MD"/>
              </w:rPr>
              <w:t>(Compozit)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897C3F1" w14:textId="0CEB319C" w:rsidR="00D74900" w:rsidRDefault="00D74900" w:rsidP="00D74900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trimestrial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144D92E" w14:textId="35DAD576" w:rsidR="00D74900" w:rsidRPr="007503BF" w:rsidRDefault="00D74900" w:rsidP="00D74900">
            <w:pPr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Asigurătorii (</w:t>
            </w:r>
            <w:proofErr w:type="spellStart"/>
            <w:r w:rsidRPr="007503BF">
              <w:rPr>
                <w:rFonts w:eastAsia="Times New Roman"/>
                <w:lang w:val="ro-RO" w:eastAsia="ro-MD"/>
              </w:rPr>
              <w:t>Reasigurătorii</w:t>
            </w:r>
            <w:proofErr w:type="spellEnd"/>
            <w:r w:rsidRPr="007503BF">
              <w:rPr>
                <w:rFonts w:eastAsia="Times New Roman"/>
                <w:lang w:val="ro-RO" w:eastAsia="ro-MD"/>
              </w:rPr>
              <w:t xml:space="preserve">) tip licență- </w:t>
            </w:r>
            <w:r>
              <w:rPr>
                <w:rFonts w:eastAsia="Times New Roman"/>
                <w:lang w:val="ro-RO" w:eastAsia="ro-MD"/>
              </w:rPr>
              <w:t>compozit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4C9160" w14:textId="35965246" w:rsidR="00D74900" w:rsidRPr="007503BF" w:rsidRDefault="00700A5B" w:rsidP="00D74900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MT</w:t>
            </w:r>
            <w:r w:rsidR="00D74900" w:rsidRPr="007503BF">
              <w:rPr>
                <w:rFonts w:eastAsia="Times New Roman"/>
                <w:lang w:val="ro-RO" w:eastAsia="ro-MD"/>
              </w:rPr>
              <w:t xml:space="preserve"> SIRBNM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D59DAC4" w14:textId="77777777" w:rsidR="00D74900" w:rsidRDefault="00D74900" w:rsidP="00D74900">
            <w:pPr>
              <w:rPr>
                <w:rFonts w:eastAsia="Times New Roman"/>
                <w:lang w:val="ro-RO" w:eastAsia="ro-MD"/>
              </w:rPr>
            </w:pPr>
            <w:r w:rsidRPr="00CA6521">
              <w:rPr>
                <w:rFonts w:eastAsia="Times New Roman"/>
                <w:lang w:val="ro-RO" w:eastAsia="ro-MD"/>
              </w:rPr>
              <w:t>Regulamentul privind fondurile proprii, evaluarea activelor și pasivelor, activele admise pentru acoperirea rezervelor tehnice și cerinței de capital minim, solvabilitatea și lichiditatea societății de asigurare sau de reasigurare</w:t>
            </w:r>
          </w:p>
          <w:p w14:paraId="6971FDA5" w14:textId="3B2A71B6" w:rsidR="00D74900" w:rsidRPr="00CA6521" w:rsidRDefault="00D74900" w:rsidP="00D74900">
            <w:pPr>
              <w:rPr>
                <w:rFonts w:eastAsia="Times New Roman"/>
                <w:lang w:val="ro-RO" w:eastAsia="ro-MD"/>
              </w:rPr>
            </w:pPr>
            <w:proofErr w:type="spellStart"/>
            <w:r>
              <w:rPr>
                <w:rFonts w:eastAsia="Times New Roman"/>
                <w:lang w:val="ro-RO" w:eastAsia="ro-MD"/>
              </w:rPr>
              <w:t>nr.XX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/2024 (Monitorul Oficial al Republicii Moldova, 2024, </w:t>
            </w:r>
            <w:proofErr w:type="spellStart"/>
            <w:r>
              <w:rPr>
                <w:rFonts w:eastAsia="Times New Roman"/>
                <w:lang w:val="ro-RO" w:eastAsia="ro-MD"/>
              </w:rPr>
              <w:t>nr.YYY</w:t>
            </w:r>
            <w:proofErr w:type="spellEnd"/>
            <w:r>
              <w:rPr>
                <w:rFonts w:eastAsia="Times New Roman"/>
                <w:lang w:val="ro-RO" w:eastAsia="ro-MD"/>
              </w:rPr>
              <w:t xml:space="preserve">, </w:t>
            </w:r>
            <w:proofErr w:type="spellStart"/>
            <w:r>
              <w:rPr>
                <w:rFonts w:eastAsia="Times New Roman"/>
                <w:lang w:val="ro-RO" w:eastAsia="ro-MD"/>
              </w:rPr>
              <w:t>art.ZZZ</w:t>
            </w:r>
            <w:proofErr w:type="spellEnd"/>
            <w:r>
              <w:rPr>
                <w:rFonts w:eastAsia="Times New Roman"/>
                <w:lang w:val="ro-RO" w:eastAsia="ro-MD"/>
              </w:rPr>
              <w:t>) (anexa nr.21)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1C80C0" w14:textId="27FF561C" w:rsidR="00D74900" w:rsidRDefault="00D74900" w:rsidP="00D74900">
            <w:pPr>
              <w:rPr>
                <w:rFonts w:eastAsia="Times New Roman"/>
                <w:lang w:val="ro-RO" w:eastAsia="ro-MD"/>
              </w:rPr>
            </w:pPr>
            <w:r>
              <w:rPr>
                <w:rFonts w:eastAsia="Times New Roman"/>
                <w:lang w:val="ro-RO" w:eastAsia="ro-MD"/>
              </w:rPr>
              <w:t>ASIG 2.21</w:t>
            </w:r>
            <w:r w:rsidR="003F1705">
              <w:rPr>
                <w:rFonts w:eastAsia="Times New Roman"/>
                <w:lang w:val="ro-RO" w:eastAsia="ro-MD"/>
              </w:rPr>
              <w:t>B</w:t>
            </w:r>
            <w:r>
              <w:rPr>
                <w:rFonts w:eastAsia="Times New Roman"/>
                <w:lang w:val="ro-RO" w:eastAsia="ro-MD"/>
              </w:rPr>
              <w:t xml:space="preserve"> </w:t>
            </w:r>
            <w:r w:rsidR="003F1705">
              <w:rPr>
                <w:rFonts w:eastAsia="Times New Roman"/>
                <w:lang w:val="ro-RO" w:eastAsia="ro-MD"/>
              </w:rPr>
              <w:t xml:space="preserve">Creanțele aferente primelor subscrise </w:t>
            </w:r>
            <w:r>
              <w:rPr>
                <w:rFonts w:eastAsia="Times New Roman"/>
                <w:lang w:val="ro-RO" w:eastAsia="ro-MD"/>
              </w:rPr>
              <w:t>(anexa nr.21, formularul ASIG0221</w:t>
            </w:r>
            <w:r w:rsidR="00A04F84">
              <w:rPr>
                <w:rFonts w:eastAsia="Times New Roman"/>
                <w:lang w:val="ro-RO" w:eastAsia="ro-MD"/>
              </w:rPr>
              <w:t>B</w:t>
            </w:r>
            <w:r>
              <w:rPr>
                <w:rFonts w:eastAsia="Times New Roman"/>
                <w:lang w:val="ro-RO" w:eastAsia="ro-MD"/>
              </w:rPr>
              <w:t>)</w:t>
            </w:r>
          </w:p>
        </w:tc>
      </w:tr>
      <w:bookmarkEnd w:id="15"/>
    </w:tbl>
    <w:p w14:paraId="7416DE38" w14:textId="77777777" w:rsidR="00EF5C8E" w:rsidRPr="007503BF" w:rsidRDefault="00EF5C8E" w:rsidP="00EB2B0D">
      <w:pPr>
        <w:spacing w:before="120" w:line="276" w:lineRule="auto"/>
        <w:jc w:val="both"/>
        <w:rPr>
          <w:lang w:val="ro-RO" w:eastAsia="ro-MD"/>
        </w:rPr>
        <w:sectPr w:rsidR="00EF5C8E" w:rsidRPr="007503BF" w:rsidSect="00E36C1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6446313" w14:textId="41E5CE41" w:rsidR="00E50731" w:rsidRPr="007503BF" w:rsidRDefault="00E50731" w:rsidP="004B60DF">
      <w:pPr>
        <w:pStyle w:val="ListParagraph"/>
        <w:numPr>
          <w:ilvl w:val="2"/>
          <w:numId w:val="41"/>
        </w:numPr>
        <w:spacing w:before="120" w:line="276" w:lineRule="auto"/>
        <w:ind w:left="0" w:firstLine="568"/>
        <w:jc w:val="both"/>
        <w:rPr>
          <w:lang w:val="ro-RO" w:eastAsia="ro-MD"/>
        </w:rPr>
      </w:pPr>
      <w:r w:rsidRPr="007503BF">
        <w:rPr>
          <w:lang w:val="ro-RO" w:eastAsia="ro-MD"/>
        </w:rPr>
        <w:lastRenderedPageBreak/>
        <w:t xml:space="preserve">în denumirea </w:t>
      </w:r>
      <w:r w:rsidR="008B08A2">
        <w:rPr>
          <w:lang w:val="ro-RO" w:eastAsia="ro-MD"/>
        </w:rPr>
        <w:t>t</w:t>
      </w:r>
      <w:r w:rsidRPr="007503BF">
        <w:rPr>
          <w:lang w:val="ro-RO" w:eastAsia="ro-MD"/>
        </w:rPr>
        <w:t>abelului 2, cuvintele „în corespundere cu Normele tehnice privind modul de prezentare a rapoartelor</w:t>
      </w:r>
      <w:r w:rsidR="00A130F8" w:rsidRPr="007503BF">
        <w:rPr>
          <w:lang w:val="ro-RO" w:eastAsia="ro-MD"/>
        </w:rPr>
        <w:t>” se exclud;</w:t>
      </w:r>
    </w:p>
    <w:p w14:paraId="75111008" w14:textId="24EA004F" w:rsidR="007A0F1B" w:rsidRPr="007503BF" w:rsidRDefault="00D603DE" w:rsidP="004B60DF">
      <w:pPr>
        <w:pStyle w:val="ListParagraph"/>
        <w:numPr>
          <w:ilvl w:val="2"/>
          <w:numId w:val="41"/>
        </w:numPr>
        <w:spacing w:before="120" w:after="120" w:line="276" w:lineRule="auto"/>
        <w:ind w:left="0" w:firstLine="567"/>
        <w:jc w:val="both"/>
        <w:rPr>
          <w:lang w:val="ro-RO" w:eastAsia="ro-MD"/>
        </w:rPr>
      </w:pPr>
      <w:r w:rsidRPr="007503BF">
        <w:rPr>
          <w:lang w:val="ro-RO" w:eastAsia="ro-MD"/>
        </w:rPr>
        <w:t xml:space="preserve">în </w:t>
      </w:r>
      <w:r w:rsidR="00CA5A06" w:rsidRPr="007503BF">
        <w:rPr>
          <w:lang w:val="ro-RO" w:eastAsia="ro-MD"/>
        </w:rPr>
        <w:t>anexa nr. 2</w:t>
      </w:r>
      <w:r w:rsidRPr="007503BF">
        <w:rPr>
          <w:lang w:val="ro-RO" w:eastAsia="ro-MD"/>
        </w:rPr>
        <w:t>, în Cerere</w:t>
      </w:r>
      <w:r w:rsidR="007A0F1B" w:rsidRPr="007503BF">
        <w:rPr>
          <w:lang w:val="ro-RO" w:eastAsia="ro-MD"/>
        </w:rPr>
        <w:t>a</w:t>
      </w:r>
      <w:r w:rsidRPr="007503BF">
        <w:rPr>
          <w:lang w:val="ro-RO" w:eastAsia="ro-MD"/>
        </w:rPr>
        <w:t xml:space="preserve"> de înregistrare a persoanei autorizate în calitate de utilizator al SIRBNM</w:t>
      </w:r>
      <w:r w:rsidR="00A7009F" w:rsidRPr="007503BF">
        <w:rPr>
          <w:lang w:val="ro-RO" w:eastAsia="ro-MD"/>
        </w:rPr>
        <w:t>:</w:t>
      </w:r>
    </w:p>
    <w:p w14:paraId="0E6E1E0E" w14:textId="58F558BA" w:rsidR="00A42B18" w:rsidRPr="007503BF" w:rsidRDefault="005C31C2" w:rsidP="004B60DF">
      <w:pPr>
        <w:pStyle w:val="ListParagraph"/>
        <w:numPr>
          <w:ilvl w:val="3"/>
          <w:numId w:val="41"/>
        </w:numPr>
        <w:spacing w:line="276" w:lineRule="auto"/>
        <w:ind w:left="0" w:firstLine="567"/>
        <w:jc w:val="both"/>
        <w:rPr>
          <w:lang w:val="ro-RO" w:eastAsia="ro-MD"/>
        </w:rPr>
      </w:pPr>
      <w:r>
        <w:rPr>
          <w:lang w:val="ro-RO" w:eastAsia="ro-MD"/>
        </w:rPr>
        <w:t xml:space="preserve"> </w:t>
      </w:r>
      <w:r w:rsidR="00DE2694" w:rsidRPr="007503BF">
        <w:rPr>
          <w:lang w:val="ro-RO" w:eastAsia="ro-MD"/>
        </w:rPr>
        <w:t xml:space="preserve">în denumirea cererii după acronimul „SIRBNM” se completează cu textul „(portalul SIRBNM, </w:t>
      </w:r>
      <w:r w:rsidR="00C25355" w:rsidRPr="007503BF">
        <w:rPr>
          <w:lang w:val="ro-RO" w:eastAsia="ro-MD"/>
        </w:rPr>
        <w:t xml:space="preserve">portalul </w:t>
      </w:r>
      <w:r w:rsidR="00DE2694" w:rsidRPr="007503BF">
        <w:rPr>
          <w:lang w:val="ro-RO" w:eastAsia="ro-MD"/>
        </w:rPr>
        <w:t>SIA SIREM, MT SIRBNM);</w:t>
      </w:r>
    </w:p>
    <w:p w14:paraId="198BBB1A" w14:textId="6F137AFF" w:rsidR="007A0F1B" w:rsidRPr="007503BF" w:rsidRDefault="005C31C2" w:rsidP="004B60DF">
      <w:pPr>
        <w:pStyle w:val="ListParagraph"/>
        <w:numPr>
          <w:ilvl w:val="3"/>
          <w:numId w:val="41"/>
        </w:numPr>
        <w:spacing w:line="276" w:lineRule="auto"/>
        <w:ind w:left="0" w:firstLine="567"/>
        <w:jc w:val="both"/>
        <w:rPr>
          <w:lang w:val="ro-RO" w:eastAsia="ro-MD"/>
        </w:rPr>
      </w:pPr>
      <w:r>
        <w:rPr>
          <w:lang w:val="ro-RO" w:eastAsia="ro-MD"/>
        </w:rPr>
        <w:t xml:space="preserve"> </w:t>
      </w:r>
      <w:r w:rsidR="00A7009F" w:rsidRPr="007503BF">
        <w:rPr>
          <w:lang w:val="ro-RO" w:eastAsia="ro-MD"/>
        </w:rPr>
        <w:t>c</w:t>
      </w:r>
      <w:r w:rsidR="007A0F1B" w:rsidRPr="007503BF">
        <w:rPr>
          <w:lang w:val="ro-RO" w:eastAsia="ro-MD"/>
        </w:rPr>
        <w:t xml:space="preserve">ompartimentul „Detalii referitoare la drepturile de acces solicitate” </w:t>
      </w:r>
      <w:r w:rsidR="00B3229F" w:rsidRPr="007503BF">
        <w:rPr>
          <w:lang w:val="ro-RO" w:eastAsia="ro-MD"/>
        </w:rPr>
        <w:t>se exclude</w:t>
      </w:r>
      <w:r w:rsidR="00F82123" w:rsidRPr="007503BF">
        <w:rPr>
          <w:lang w:val="ro-RO" w:eastAsia="ro-MD"/>
        </w:rPr>
        <w:t>;</w:t>
      </w:r>
    </w:p>
    <w:p w14:paraId="0A33844F" w14:textId="7F22ED32" w:rsidR="008D216F" w:rsidRPr="007503BF" w:rsidRDefault="005C31C2" w:rsidP="004B60DF">
      <w:pPr>
        <w:pStyle w:val="ListParagraph"/>
        <w:numPr>
          <w:ilvl w:val="3"/>
          <w:numId w:val="41"/>
        </w:numPr>
        <w:spacing w:line="276" w:lineRule="auto"/>
        <w:ind w:left="0" w:firstLine="567"/>
        <w:jc w:val="both"/>
        <w:rPr>
          <w:lang w:val="ro-RO" w:eastAsia="ro-MD"/>
        </w:rPr>
      </w:pPr>
      <w:r>
        <w:rPr>
          <w:lang w:val="ro-RO" w:eastAsia="ro-MD"/>
        </w:rPr>
        <w:t xml:space="preserve"> </w:t>
      </w:r>
      <w:r w:rsidR="008D216F" w:rsidRPr="007503BF">
        <w:rPr>
          <w:lang w:val="ro-RO" w:eastAsia="ro-MD"/>
        </w:rPr>
        <w:t xml:space="preserve">în tabelul „Raportările din cadrul SIRBNM pentru care se solicită drepturi de acces”, în </w:t>
      </w:r>
      <w:r w:rsidR="00073A62" w:rsidRPr="007503BF">
        <w:rPr>
          <w:lang w:val="ro-RO" w:eastAsia="ro-MD"/>
        </w:rPr>
        <w:t xml:space="preserve">denumirea </w:t>
      </w:r>
      <w:r w:rsidR="008D216F" w:rsidRPr="007503BF">
        <w:rPr>
          <w:lang w:val="ro-RO" w:eastAsia="ro-MD"/>
        </w:rPr>
        <w:t>coloanel</w:t>
      </w:r>
      <w:r w:rsidR="00073A62" w:rsidRPr="007503BF">
        <w:rPr>
          <w:lang w:val="ro-RO" w:eastAsia="ro-MD"/>
        </w:rPr>
        <w:t>or</w:t>
      </w:r>
      <w:r w:rsidR="008D216F" w:rsidRPr="007503BF">
        <w:rPr>
          <w:lang w:val="ro-RO" w:eastAsia="ro-MD"/>
        </w:rPr>
        <w:t xml:space="preserve"> 1 și 2</w:t>
      </w:r>
      <w:r w:rsidR="00073A62" w:rsidRPr="007503BF">
        <w:rPr>
          <w:lang w:val="ro-RO" w:eastAsia="ro-MD"/>
        </w:rPr>
        <w:t xml:space="preserve"> se completează cu textul „(conform anexei nr.1)”;</w:t>
      </w:r>
      <w:r w:rsidR="008D216F" w:rsidRPr="007503BF">
        <w:rPr>
          <w:lang w:val="ro-RO" w:eastAsia="ro-MD"/>
        </w:rPr>
        <w:t xml:space="preserve"> </w:t>
      </w:r>
    </w:p>
    <w:p w14:paraId="25551577" w14:textId="203E0601" w:rsidR="00156D9D" w:rsidRPr="007503BF" w:rsidRDefault="005C31C2" w:rsidP="004B60DF">
      <w:pPr>
        <w:pStyle w:val="ListParagraph"/>
        <w:numPr>
          <w:ilvl w:val="3"/>
          <w:numId w:val="41"/>
        </w:numPr>
        <w:spacing w:line="276" w:lineRule="auto"/>
        <w:ind w:left="0" w:firstLine="567"/>
        <w:jc w:val="both"/>
        <w:rPr>
          <w:lang w:val="ro-RO" w:eastAsia="ro-MD"/>
        </w:rPr>
      </w:pPr>
      <w:r>
        <w:rPr>
          <w:lang w:val="ro-RO" w:eastAsia="ro-MD"/>
        </w:rPr>
        <w:t xml:space="preserve"> </w:t>
      </w:r>
      <w:r w:rsidR="009B7182" w:rsidRPr="007503BF">
        <w:rPr>
          <w:lang w:val="ro-RO" w:eastAsia="ro-MD"/>
        </w:rPr>
        <w:t>după tabelul „Raportările din cadrul SIRBNM pentru care se solicită drepturi de acces”,</w:t>
      </w:r>
      <w:r w:rsidR="00156D9D" w:rsidRPr="007503BF">
        <w:rPr>
          <w:lang w:val="ro-RO" w:eastAsia="ro-MD"/>
        </w:rPr>
        <w:t xml:space="preserve"> se completează cu </w:t>
      </w:r>
      <w:r w:rsidR="002C7485" w:rsidRPr="007503BF">
        <w:rPr>
          <w:lang w:val="ro-RO" w:eastAsia="ro-MD"/>
        </w:rPr>
        <w:t>compartimentul:</w:t>
      </w:r>
    </w:p>
    <w:tbl>
      <w:tblPr>
        <w:tblW w:w="4454" w:type="pct"/>
        <w:tblInd w:w="5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4"/>
        <w:gridCol w:w="1277"/>
        <w:gridCol w:w="1702"/>
      </w:tblGrid>
      <w:tr w:rsidR="002C7485" w:rsidRPr="007503BF" w14:paraId="47B7237D" w14:textId="2461EEA1" w:rsidTr="002C7485">
        <w:tc>
          <w:tcPr>
            <w:tcW w:w="3213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C2540DC" w14:textId="3B71F73A" w:rsidR="002C7485" w:rsidRPr="007503BF" w:rsidRDefault="002C7485" w:rsidP="005C31C2">
            <w:pPr>
              <w:spacing w:before="120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„Acces la modulul MFI</w:t>
            </w:r>
          </w:p>
          <w:p w14:paraId="4C360E77" w14:textId="1898284A" w:rsidR="002C7485" w:rsidRPr="007503BF" w:rsidRDefault="002C7485" w:rsidP="005C31C2">
            <w:pPr>
              <w:spacing w:after="120"/>
              <w:rPr>
                <w:rFonts w:eastAsia="Times New Roman"/>
                <w:lang w:val="ro-RO" w:eastAsia="ro-MD"/>
              </w:rPr>
            </w:pPr>
            <w:r w:rsidRPr="007503BF">
              <w:rPr>
                <w:rFonts w:eastAsia="Times New Roman"/>
                <w:lang w:val="ro-RO" w:eastAsia="ro-MD"/>
              </w:rPr>
              <w:t>(aplicabil doar pentru rapoartele din domeniul RRC)”</w:t>
            </w:r>
            <w:r w:rsidR="008B08A2">
              <w:rPr>
                <w:rFonts w:eastAsia="Times New Roman"/>
                <w:lang w:val="ro-RO" w:eastAsia="ro-MD"/>
              </w:rPr>
              <w:t>;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2C842CB" w14:textId="77777777" w:rsidR="002C7485" w:rsidRPr="007503BF" w:rsidRDefault="002C7485" w:rsidP="005C31C2">
            <w:pPr>
              <w:jc w:val="center"/>
              <w:rPr>
                <w:rFonts w:eastAsia="Times New Roman"/>
                <w:lang w:val="ro-RO" w:eastAsia="ro-MD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</w:tcPr>
          <w:p w14:paraId="5C0C6E87" w14:textId="1ADF5D05" w:rsidR="002C7485" w:rsidRPr="007503BF" w:rsidRDefault="002C7485" w:rsidP="005C31C2">
            <w:pPr>
              <w:jc w:val="center"/>
              <w:rPr>
                <w:rFonts w:eastAsia="Times New Roman"/>
                <w:lang w:val="ro-RO" w:eastAsia="ro-MD"/>
              </w:rPr>
            </w:pPr>
            <w:r w:rsidRPr="007503BF">
              <w:rPr>
                <w:rFonts w:ascii="Segoe UI Symbol" w:eastAsia="Times New Roman" w:hAnsi="Segoe UI Symbol" w:cs="Segoe UI Symbol"/>
                <w:lang w:val="ro-RO" w:eastAsia="ro-MD"/>
              </w:rPr>
              <w:t>☐</w:t>
            </w:r>
          </w:p>
        </w:tc>
      </w:tr>
    </w:tbl>
    <w:p w14:paraId="04742035" w14:textId="4130ABC4" w:rsidR="00B3229F" w:rsidRPr="007503BF" w:rsidRDefault="005C31C2" w:rsidP="004B60DF">
      <w:pPr>
        <w:pStyle w:val="ListParagraph"/>
        <w:numPr>
          <w:ilvl w:val="3"/>
          <w:numId w:val="41"/>
        </w:numPr>
        <w:spacing w:line="276" w:lineRule="auto"/>
        <w:ind w:left="0" w:firstLine="567"/>
        <w:jc w:val="both"/>
        <w:rPr>
          <w:lang w:val="ro-RO" w:eastAsia="ro-MD"/>
        </w:rPr>
      </w:pPr>
      <w:r>
        <w:rPr>
          <w:lang w:val="ro-RO" w:eastAsia="ro-MD"/>
        </w:rPr>
        <w:t xml:space="preserve"> </w:t>
      </w:r>
      <w:r w:rsidR="00B3229F" w:rsidRPr="007503BF">
        <w:rPr>
          <w:lang w:val="ro-RO" w:eastAsia="ro-MD"/>
        </w:rPr>
        <w:t>Modul de completare a cererii de înregistrare a persoanei autorizate în calitate de utilizator al SIRBNM va avea următorul cuprins:</w:t>
      </w:r>
    </w:p>
    <w:p w14:paraId="47825F91" w14:textId="77777777" w:rsidR="00275C19" w:rsidRPr="007503BF" w:rsidRDefault="00275C19" w:rsidP="00275C19">
      <w:pPr>
        <w:pStyle w:val="ListParagraph"/>
        <w:spacing w:line="276" w:lineRule="auto"/>
        <w:ind w:left="567"/>
        <w:jc w:val="both"/>
        <w:rPr>
          <w:lang w:val="ro-RO" w:eastAsia="ro-MD"/>
        </w:rPr>
      </w:pPr>
    </w:p>
    <w:p w14:paraId="47B10144" w14:textId="7DF02916" w:rsidR="007C6F7F" w:rsidRPr="007503BF" w:rsidRDefault="007C6F7F" w:rsidP="007C6F7F">
      <w:pPr>
        <w:jc w:val="center"/>
        <w:rPr>
          <w:rFonts w:eastAsia="Times New Roman"/>
          <w:lang w:val="ro-RO" w:eastAsia="ro-MD"/>
        </w:rPr>
      </w:pPr>
      <w:r w:rsidRPr="007503BF">
        <w:rPr>
          <w:lang w:val="ro-RO" w:eastAsia="ro-MD"/>
        </w:rPr>
        <w:t>„</w:t>
      </w:r>
      <w:r w:rsidRPr="007503BF">
        <w:rPr>
          <w:rFonts w:eastAsia="Times New Roman"/>
          <w:b/>
          <w:bCs/>
          <w:lang w:val="ro-RO" w:eastAsia="ro-MD"/>
        </w:rPr>
        <w:t xml:space="preserve"> Modul de completare</w:t>
      </w:r>
    </w:p>
    <w:p w14:paraId="3E7B71E5" w14:textId="77777777" w:rsidR="007C6F7F" w:rsidRPr="007503BF" w:rsidRDefault="007C6F7F" w:rsidP="007C6F7F">
      <w:pPr>
        <w:jc w:val="center"/>
        <w:rPr>
          <w:rFonts w:eastAsia="Times New Roman"/>
          <w:b/>
          <w:bCs/>
          <w:lang w:val="ro-RO" w:eastAsia="ro-MD"/>
        </w:rPr>
      </w:pPr>
      <w:r w:rsidRPr="007503BF">
        <w:rPr>
          <w:rFonts w:eastAsia="Times New Roman"/>
          <w:b/>
          <w:bCs/>
          <w:lang w:val="ro-RO" w:eastAsia="ro-MD"/>
        </w:rPr>
        <w:t xml:space="preserve">a cererii de înregistrare a persoanei autorizate în calitate de utilizator al SIRBNM </w:t>
      </w:r>
    </w:p>
    <w:p w14:paraId="6C8A5675" w14:textId="26B68012" w:rsidR="007C6F7F" w:rsidRPr="007503BF" w:rsidRDefault="007C6F7F" w:rsidP="007C6F7F">
      <w:pPr>
        <w:jc w:val="center"/>
        <w:rPr>
          <w:rFonts w:eastAsia="Times New Roman"/>
          <w:lang w:val="ro-RO" w:eastAsia="ro-MD"/>
        </w:rPr>
      </w:pPr>
      <w:r w:rsidRPr="007503BF">
        <w:rPr>
          <w:rFonts w:eastAsia="Times New Roman"/>
          <w:b/>
          <w:bCs/>
          <w:lang w:val="ro-RO" w:eastAsia="ro-MD"/>
        </w:rPr>
        <w:t xml:space="preserve">(portalul SIRBNM, </w:t>
      </w:r>
      <w:r w:rsidR="00C25355" w:rsidRPr="007503BF">
        <w:rPr>
          <w:rFonts w:eastAsia="Times New Roman"/>
          <w:b/>
          <w:bCs/>
          <w:lang w:val="ro-RO" w:eastAsia="ro-MD"/>
        </w:rPr>
        <w:t xml:space="preserve">portalul </w:t>
      </w:r>
      <w:r w:rsidRPr="007503BF">
        <w:rPr>
          <w:rFonts w:eastAsia="Times New Roman"/>
          <w:b/>
          <w:bCs/>
          <w:lang w:val="ro-RO" w:eastAsia="ro-MD"/>
        </w:rPr>
        <w:t>SIA SIREM, MT SIRBNM)</w:t>
      </w:r>
    </w:p>
    <w:p w14:paraId="6B5F916F" w14:textId="1223AEA8" w:rsidR="007C6F7F" w:rsidRPr="007503BF" w:rsidRDefault="007C6F7F" w:rsidP="007C6F7F">
      <w:pPr>
        <w:pStyle w:val="ListParagraph"/>
        <w:spacing w:line="276" w:lineRule="auto"/>
        <w:ind w:left="567"/>
        <w:jc w:val="center"/>
        <w:rPr>
          <w:lang w:val="ro-RO" w:eastAsia="ro-MD"/>
        </w:rPr>
      </w:pPr>
    </w:p>
    <w:p w14:paraId="2526B337" w14:textId="1B646C70" w:rsidR="00817949" w:rsidRPr="007503BF" w:rsidRDefault="00B3229F" w:rsidP="00B3229F">
      <w:pPr>
        <w:pStyle w:val="ListParagraph"/>
        <w:spacing w:line="276" w:lineRule="auto"/>
        <w:ind w:left="567"/>
        <w:jc w:val="both"/>
        <w:rPr>
          <w:lang w:val="ro-RO" w:eastAsia="ro-MD"/>
        </w:rPr>
      </w:pPr>
      <w:r w:rsidRPr="007503BF">
        <w:rPr>
          <w:lang w:val="ro-RO" w:eastAsia="ro-MD"/>
        </w:rPr>
        <w:t>1.</w:t>
      </w:r>
      <w:r w:rsidR="000B4F02" w:rsidRPr="007503BF">
        <w:rPr>
          <w:lang w:val="ro-RO" w:eastAsia="ro-MD"/>
        </w:rPr>
        <w:t xml:space="preserve"> În c</w:t>
      </w:r>
      <w:r w:rsidRPr="007503BF">
        <w:rPr>
          <w:lang w:val="ro-RO" w:eastAsia="ro-MD"/>
        </w:rPr>
        <w:t xml:space="preserve">ompartimentul </w:t>
      </w:r>
      <w:r w:rsidR="00E619BF" w:rsidRPr="007503BF">
        <w:rPr>
          <w:lang w:val="ro-RO" w:eastAsia="ro-MD"/>
        </w:rPr>
        <w:t>„</w:t>
      </w:r>
      <w:r w:rsidR="002A2AB5" w:rsidRPr="007503BF">
        <w:rPr>
          <w:lang w:val="ro-RO" w:eastAsia="ro-MD"/>
        </w:rPr>
        <w:t>De la</w:t>
      </w:r>
      <w:r w:rsidR="000B4F02" w:rsidRPr="007503BF">
        <w:rPr>
          <w:lang w:val="ro-RO" w:eastAsia="ro-MD"/>
        </w:rPr>
        <w:t xml:space="preserve"> </w:t>
      </w:r>
      <w:r w:rsidR="00E619BF" w:rsidRPr="007503BF">
        <w:rPr>
          <w:lang w:val="ro-RO" w:eastAsia="ro-MD"/>
        </w:rPr>
        <w:t>”</w:t>
      </w:r>
      <w:r w:rsidR="00020224" w:rsidRPr="007503BF">
        <w:rPr>
          <w:lang w:val="ro-RO" w:eastAsia="ro-MD"/>
        </w:rPr>
        <w:t>:</w:t>
      </w:r>
    </w:p>
    <w:p w14:paraId="4BD9E50E" w14:textId="24E42CF8" w:rsidR="00EC4BD9" w:rsidRPr="007503BF" w:rsidRDefault="00827D91" w:rsidP="00E21AA3">
      <w:pPr>
        <w:pStyle w:val="ListParagraph"/>
        <w:spacing w:line="276" w:lineRule="auto"/>
        <w:ind w:left="0" w:firstLine="567"/>
        <w:jc w:val="both"/>
        <w:rPr>
          <w:lang w:val="ro-RO" w:eastAsia="ro-MD"/>
        </w:rPr>
      </w:pPr>
      <w:r w:rsidRPr="007503BF">
        <w:rPr>
          <w:lang w:val="ro-RO" w:eastAsia="ro-MD"/>
        </w:rPr>
        <w:t>1</w:t>
      </w:r>
      <w:r w:rsidR="00817949" w:rsidRPr="007503BF">
        <w:rPr>
          <w:lang w:val="ro-RO" w:eastAsia="ro-MD"/>
        </w:rPr>
        <w:t xml:space="preserve">) </w:t>
      </w:r>
      <w:bookmarkStart w:id="16" w:name="_Hlk152595468"/>
      <w:r w:rsidR="00817949" w:rsidRPr="007503BF">
        <w:rPr>
          <w:lang w:val="ro-RO" w:eastAsia="ro-MD"/>
        </w:rPr>
        <w:t>la</w:t>
      </w:r>
      <w:r w:rsidR="00C306C3" w:rsidRPr="007503BF">
        <w:rPr>
          <w:lang w:val="ro-RO" w:eastAsia="ro-MD"/>
        </w:rPr>
        <w:t xml:space="preserve"> rubrica</w:t>
      </w:r>
      <w:r w:rsidR="00817949" w:rsidRPr="007503BF">
        <w:rPr>
          <w:lang w:val="ro-RO" w:eastAsia="ro-MD"/>
        </w:rPr>
        <w:t xml:space="preserve"> „Denumirea entității raportoare” se va indica denumirea prescurtată a persoanei juridice, după cum aceasta este indicată în documentul care confirmă înregistrarea de stat a persoanei juridice;</w:t>
      </w:r>
    </w:p>
    <w:p w14:paraId="3E26B616" w14:textId="34051D47" w:rsidR="00EC4BD9" w:rsidRPr="007503BF" w:rsidRDefault="00827D91" w:rsidP="00E21AA3">
      <w:pPr>
        <w:pStyle w:val="ListParagraph"/>
        <w:spacing w:line="276" w:lineRule="auto"/>
        <w:ind w:left="0" w:firstLine="567"/>
        <w:jc w:val="both"/>
        <w:rPr>
          <w:lang w:val="ro-RO" w:eastAsia="ro-MD"/>
        </w:rPr>
      </w:pPr>
      <w:r w:rsidRPr="007503BF">
        <w:rPr>
          <w:lang w:val="ro-RO" w:eastAsia="ro-MD"/>
        </w:rPr>
        <w:t>2</w:t>
      </w:r>
      <w:r w:rsidR="00817949" w:rsidRPr="007503BF">
        <w:rPr>
          <w:lang w:val="ro-RO" w:eastAsia="ro-MD"/>
        </w:rPr>
        <w:t xml:space="preserve">) </w:t>
      </w:r>
      <w:r w:rsidR="00EC4BD9" w:rsidRPr="007503BF">
        <w:rPr>
          <w:lang w:val="ro-RO" w:eastAsia="ro-MD"/>
        </w:rPr>
        <w:t xml:space="preserve">la </w:t>
      </w:r>
      <w:r w:rsidR="00E619BF" w:rsidRPr="007503BF">
        <w:rPr>
          <w:lang w:val="ro-RO" w:eastAsia="ro-MD"/>
        </w:rPr>
        <w:t xml:space="preserve">rubrica </w:t>
      </w:r>
      <w:r w:rsidR="00EC4BD9" w:rsidRPr="007503BF">
        <w:rPr>
          <w:lang w:val="ro-RO" w:eastAsia="ro-MD"/>
        </w:rPr>
        <w:t xml:space="preserve">„Numele persoanei de contact” se va indica </w:t>
      </w:r>
      <w:r w:rsidR="00A33C74" w:rsidRPr="007503BF">
        <w:rPr>
          <w:lang w:val="ro-RO" w:eastAsia="ro-MD"/>
        </w:rPr>
        <w:t>n</w:t>
      </w:r>
      <w:r w:rsidR="00EC4BD9" w:rsidRPr="007503BF">
        <w:rPr>
          <w:lang w:val="ro-RO" w:eastAsia="ro-MD"/>
        </w:rPr>
        <w:t xml:space="preserve">umele, prenumele persoanei care are dreptul de a desemna o persoana autorizată (de ex. </w:t>
      </w:r>
      <w:r w:rsidR="009C0A8B" w:rsidRPr="007503BF">
        <w:rPr>
          <w:lang w:val="ro-RO" w:eastAsia="ro-MD"/>
        </w:rPr>
        <w:t>membrul consiliului, d</w:t>
      </w:r>
      <w:r w:rsidR="00EC4BD9" w:rsidRPr="007503BF">
        <w:rPr>
          <w:lang w:val="ro-RO" w:eastAsia="ro-MD"/>
        </w:rPr>
        <w:t>irectorul executiv</w:t>
      </w:r>
      <w:r w:rsidR="00B63F1A" w:rsidRPr="007503BF">
        <w:rPr>
          <w:lang w:val="ro-RO" w:eastAsia="ro-MD"/>
        </w:rPr>
        <w:t>, directorul financiar</w:t>
      </w:r>
      <w:r w:rsidR="00EC4BD9" w:rsidRPr="007503BF">
        <w:rPr>
          <w:lang w:val="ro-RO" w:eastAsia="ro-MD"/>
        </w:rPr>
        <w:t>);</w:t>
      </w:r>
    </w:p>
    <w:p w14:paraId="1181880B" w14:textId="45A473FD" w:rsidR="00392C4C" w:rsidRPr="007503BF" w:rsidRDefault="00827D91" w:rsidP="00392C4C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lang w:val="ro-RO" w:eastAsia="ro-MD"/>
        </w:rPr>
        <w:t>3</w:t>
      </w:r>
      <w:r w:rsidR="00392C4C" w:rsidRPr="007503BF">
        <w:rPr>
          <w:lang w:val="ro-RO" w:eastAsia="ro-MD"/>
        </w:rPr>
        <w:t xml:space="preserve">) </w:t>
      </w:r>
      <w:r w:rsidR="00392C4C" w:rsidRPr="007503BF">
        <w:rPr>
          <w:rFonts w:eastAsia="Times New Roman"/>
          <w:lang w:val="ro-RO" w:eastAsia="ro-MD"/>
        </w:rPr>
        <w:t xml:space="preserve">la </w:t>
      </w:r>
      <w:r w:rsidR="00E619BF" w:rsidRPr="007503BF">
        <w:rPr>
          <w:lang w:val="ro-RO" w:eastAsia="ro-MD"/>
        </w:rPr>
        <w:t>rubrica</w:t>
      </w:r>
      <w:r w:rsidR="00E619BF" w:rsidRPr="007503BF">
        <w:rPr>
          <w:rFonts w:eastAsia="Times New Roman"/>
          <w:lang w:val="ro-RO" w:eastAsia="ro-MD"/>
        </w:rPr>
        <w:t xml:space="preserve"> </w:t>
      </w:r>
      <w:r w:rsidR="00392C4C" w:rsidRPr="007503BF">
        <w:rPr>
          <w:rFonts w:eastAsia="Times New Roman"/>
          <w:lang w:val="ro-RO" w:eastAsia="ro-MD"/>
        </w:rPr>
        <w:t>„Telefon” se va indica numărul de contact utilizat în scop de serviciu;</w:t>
      </w:r>
    </w:p>
    <w:bookmarkEnd w:id="16"/>
    <w:p w14:paraId="7344F937" w14:textId="66D738D9" w:rsidR="00392C4C" w:rsidRPr="007503BF" w:rsidRDefault="00827D91" w:rsidP="00392C4C">
      <w:pPr>
        <w:ind w:firstLine="567"/>
        <w:jc w:val="both"/>
        <w:rPr>
          <w:lang w:val="ro-RO"/>
        </w:rPr>
      </w:pPr>
      <w:r w:rsidRPr="007503BF">
        <w:rPr>
          <w:rFonts w:eastAsia="Times New Roman"/>
          <w:lang w:val="ro-RO" w:eastAsia="ro-MD"/>
        </w:rPr>
        <w:t>4</w:t>
      </w:r>
      <w:r w:rsidR="00392C4C" w:rsidRPr="007503BF">
        <w:rPr>
          <w:rFonts w:eastAsia="Times New Roman"/>
          <w:lang w:val="ro-RO" w:eastAsia="ro-MD"/>
        </w:rPr>
        <w:t xml:space="preserve">) </w:t>
      </w:r>
      <w:r w:rsidR="003A1827" w:rsidRPr="007503BF">
        <w:rPr>
          <w:rFonts w:eastAsia="Times New Roman"/>
          <w:lang w:val="ro-RO" w:eastAsia="ro-MD"/>
        </w:rPr>
        <w:t xml:space="preserve">la </w:t>
      </w:r>
      <w:r w:rsidR="00E619BF" w:rsidRPr="007503BF">
        <w:rPr>
          <w:lang w:val="ro-RO" w:eastAsia="ro-MD"/>
        </w:rPr>
        <w:t>rubrica</w:t>
      </w:r>
      <w:r w:rsidR="00E619BF" w:rsidRPr="007503BF">
        <w:rPr>
          <w:rFonts w:eastAsia="Times New Roman"/>
          <w:lang w:val="ro-RO" w:eastAsia="ro-MD"/>
        </w:rPr>
        <w:t xml:space="preserve"> </w:t>
      </w:r>
      <w:r w:rsidR="003A1827" w:rsidRPr="007503BF">
        <w:rPr>
          <w:rFonts w:eastAsia="Times New Roman"/>
          <w:lang w:val="ro-RO" w:eastAsia="ro-MD"/>
        </w:rPr>
        <w:t>„E-mail” se va indica adresa de e</w:t>
      </w:r>
      <w:r w:rsidR="003A1827" w:rsidRPr="007503BF">
        <w:rPr>
          <w:lang w:val="ro-RO"/>
        </w:rPr>
        <w:t xml:space="preserve">-mail </w:t>
      </w:r>
      <w:r w:rsidR="00965AA9" w:rsidRPr="007503BF">
        <w:rPr>
          <w:lang w:val="ro-RO"/>
        </w:rPr>
        <w:t>utilizată</w:t>
      </w:r>
      <w:r w:rsidR="003A1827" w:rsidRPr="007503BF">
        <w:rPr>
          <w:lang w:val="ro-RO"/>
        </w:rPr>
        <w:t xml:space="preserve"> în scop de serviciu.</w:t>
      </w:r>
    </w:p>
    <w:p w14:paraId="0D3CE0D9" w14:textId="46C827AB" w:rsidR="00863F12" w:rsidRPr="007503BF" w:rsidRDefault="003A1827" w:rsidP="00863F12">
      <w:pPr>
        <w:ind w:firstLine="567"/>
        <w:jc w:val="both"/>
        <w:rPr>
          <w:rFonts w:eastAsia="Times New Roman"/>
          <w:lang w:val="ro-RO" w:eastAsia="ro-MD"/>
        </w:rPr>
      </w:pPr>
      <w:bookmarkStart w:id="17" w:name="_Hlk152596940"/>
      <w:r w:rsidRPr="007503BF">
        <w:rPr>
          <w:lang w:val="ro-RO"/>
        </w:rPr>
        <w:t xml:space="preserve">2. În </w:t>
      </w:r>
      <w:r w:rsidR="008A30D0" w:rsidRPr="007503BF">
        <w:rPr>
          <w:rFonts w:eastAsia="Times New Roman"/>
          <w:lang w:val="ro-RO" w:eastAsia="ro-MD"/>
        </w:rPr>
        <w:t xml:space="preserve">compartimentul </w:t>
      </w:r>
      <w:r w:rsidR="00E619BF" w:rsidRPr="007503BF">
        <w:rPr>
          <w:rFonts w:eastAsia="Times New Roman"/>
          <w:lang w:val="ro-RO" w:eastAsia="ro-MD"/>
        </w:rPr>
        <w:t>„</w:t>
      </w:r>
      <w:r w:rsidRPr="007503BF">
        <w:rPr>
          <w:rFonts w:eastAsia="Times New Roman"/>
          <w:lang w:val="ro-RO" w:eastAsia="ro-MD"/>
        </w:rPr>
        <w:t>Detalii referitoare la persoana autorizată</w:t>
      </w:r>
      <w:r w:rsidR="00E619BF" w:rsidRPr="007503BF">
        <w:rPr>
          <w:rFonts w:eastAsia="Times New Roman"/>
          <w:lang w:val="ro-RO" w:eastAsia="ro-MD"/>
        </w:rPr>
        <w:t>”</w:t>
      </w:r>
      <w:r w:rsidR="00A33C74" w:rsidRPr="007503BF">
        <w:rPr>
          <w:rFonts w:eastAsia="Times New Roman"/>
          <w:lang w:val="ro-RO" w:eastAsia="ro-MD"/>
        </w:rPr>
        <w:t xml:space="preserve"> se va indica </w:t>
      </w:r>
      <w:r w:rsidR="00A33C74" w:rsidRPr="007503BF">
        <w:rPr>
          <w:lang w:val="ro-RO" w:eastAsia="ro-MD"/>
        </w:rPr>
        <w:t>n</w:t>
      </w:r>
      <w:r w:rsidR="00A33C74" w:rsidRPr="007503BF">
        <w:rPr>
          <w:rFonts w:eastAsia="Times New Roman"/>
          <w:lang w:val="ro-RO" w:eastAsia="ro-MD"/>
        </w:rPr>
        <w:t>umele, prenumele,</w:t>
      </w:r>
      <w:r w:rsidR="00E619BF" w:rsidRPr="007503BF">
        <w:rPr>
          <w:rFonts w:eastAsia="Times New Roman"/>
          <w:lang w:val="ro-RO" w:eastAsia="ro-MD"/>
        </w:rPr>
        <w:t xml:space="preserve"> patronimicul,</w:t>
      </w:r>
      <w:r w:rsidR="00A33C74" w:rsidRPr="007503BF">
        <w:rPr>
          <w:rFonts w:eastAsia="Times New Roman"/>
          <w:lang w:val="ro-RO" w:eastAsia="ro-MD"/>
        </w:rPr>
        <w:t xml:space="preserve"> IDNP-</w:t>
      </w:r>
      <w:proofErr w:type="spellStart"/>
      <w:r w:rsidR="00A33C74" w:rsidRPr="007503BF">
        <w:rPr>
          <w:rFonts w:eastAsia="Times New Roman"/>
          <w:lang w:val="ro-RO" w:eastAsia="ro-MD"/>
        </w:rPr>
        <w:t>ul</w:t>
      </w:r>
      <w:proofErr w:type="spellEnd"/>
      <w:r w:rsidR="00A33C74" w:rsidRPr="007503BF">
        <w:rPr>
          <w:rFonts w:eastAsia="Times New Roman"/>
          <w:lang w:val="ro-RO" w:eastAsia="ro-MD"/>
        </w:rPr>
        <w:t>, funcția</w:t>
      </w:r>
      <w:r w:rsidR="00965AA9" w:rsidRPr="007503BF">
        <w:rPr>
          <w:rFonts w:eastAsia="Times New Roman"/>
          <w:lang w:val="ro-RO" w:eastAsia="ro-MD"/>
        </w:rPr>
        <w:t xml:space="preserve"> deținută</w:t>
      </w:r>
      <w:r w:rsidR="00A33C74" w:rsidRPr="007503BF">
        <w:rPr>
          <w:rFonts w:eastAsia="Times New Roman"/>
          <w:lang w:val="ro-RO" w:eastAsia="ro-MD"/>
        </w:rPr>
        <w:t>, telefonul și e-mailul</w:t>
      </w:r>
      <w:r w:rsidR="00E619BF" w:rsidRPr="007503BF">
        <w:rPr>
          <w:rFonts w:eastAsia="Times New Roman"/>
          <w:lang w:val="ro-RO" w:eastAsia="ro-MD"/>
        </w:rPr>
        <w:t xml:space="preserve"> utilizat în scop de serviciu al</w:t>
      </w:r>
      <w:r w:rsidR="00A33C74" w:rsidRPr="007503BF">
        <w:rPr>
          <w:rFonts w:eastAsia="Times New Roman"/>
          <w:lang w:val="ro-RO" w:eastAsia="ro-MD"/>
        </w:rPr>
        <w:t xml:space="preserve"> persoanei autorizate</w:t>
      </w:r>
      <w:r w:rsidR="0044354A" w:rsidRPr="007503BF">
        <w:rPr>
          <w:rFonts w:eastAsia="Times New Roman"/>
          <w:lang w:val="ro-RO" w:eastAsia="ro-MD"/>
        </w:rPr>
        <w:t>.</w:t>
      </w:r>
    </w:p>
    <w:p w14:paraId="2519365C" w14:textId="1F60AAD8" w:rsidR="00863F12" w:rsidRPr="007503BF" w:rsidRDefault="0044354A" w:rsidP="008A30D0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 xml:space="preserve">3. </w:t>
      </w:r>
      <w:r w:rsidR="00863F12" w:rsidRPr="007503BF">
        <w:rPr>
          <w:rFonts w:eastAsia="Times New Roman"/>
          <w:lang w:val="ro-RO" w:eastAsia="ro-MD"/>
        </w:rPr>
        <w:t>Rubrica „</w:t>
      </w:r>
      <w:r w:rsidR="0041078D" w:rsidRPr="007503BF">
        <w:rPr>
          <w:rFonts w:eastAsia="Times New Roman"/>
          <w:lang w:val="ro-RO" w:eastAsia="ro-MD"/>
        </w:rPr>
        <w:t>S</w:t>
      </w:r>
      <w:r w:rsidR="00863F12" w:rsidRPr="007503BF">
        <w:rPr>
          <w:rFonts w:eastAsia="Times New Roman"/>
          <w:lang w:val="ro-RO" w:eastAsia="ro-MD"/>
        </w:rPr>
        <w:t>emnătura persoanei autorizate” va conține semnătura olografă sau semnătura electronică</w:t>
      </w:r>
      <w:r w:rsidR="00F35D09" w:rsidRPr="007503BF">
        <w:rPr>
          <w:rFonts w:eastAsia="Times New Roman"/>
          <w:lang w:val="ro-RO" w:eastAsia="ro-MD"/>
        </w:rPr>
        <w:t xml:space="preserve"> a persoanei care a fost desemnată drept persoană autorizată</w:t>
      </w:r>
      <w:r w:rsidR="00863F12" w:rsidRPr="007503BF">
        <w:rPr>
          <w:rFonts w:eastAsia="Times New Roman"/>
          <w:lang w:val="ro-RO" w:eastAsia="ro-MD"/>
        </w:rPr>
        <w:t>.</w:t>
      </w:r>
      <w:r w:rsidR="00F35D09" w:rsidRPr="007503BF">
        <w:rPr>
          <w:rFonts w:eastAsia="Times New Roman"/>
          <w:lang w:val="ro-RO" w:eastAsia="ro-MD"/>
        </w:rPr>
        <w:t xml:space="preserve"> Semnătura este necesară și </w:t>
      </w:r>
      <w:r w:rsidR="00965AA9" w:rsidRPr="007503BF">
        <w:rPr>
          <w:rFonts w:eastAsia="Times New Roman"/>
          <w:lang w:val="ro-RO" w:eastAsia="ro-MD"/>
        </w:rPr>
        <w:t>pentru</w:t>
      </w:r>
      <w:r w:rsidR="00F35D09" w:rsidRPr="007503BF">
        <w:rPr>
          <w:rFonts w:eastAsia="Times New Roman"/>
          <w:lang w:val="ro-RO" w:eastAsia="ro-MD"/>
        </w:rPr>
        <w:t xml:space="preserve"> cazul </w:t>
      </w:r>
      <w:r w:rsidR="00972919" w:rsidRPr="007503BF">
        <w:rPr>
          <w:rFonts w:eastAsia="Times New Roman"/>
          <w:lang w:val="ro-RO" w:eastAsia="ro-MD"/>
        </w:rPr>
        <w:t xml:space="preserve">când persoana autorizată </w:t>
      </w:r>
      <w:r w:rsidR="00965AA9" w:rsidRPr="007503BF">
        <w:rPr>
          <w:rFonts w:eastAsia="Times New Roman"/>
          <w:lang w:val="ro-RO" w:eastAsia="ro-MD"/>
        </w:rPr>
        <w:t xml:space="preserve">semnează în rubrica „Semnătura </w:t>
      </w:r>
      <w:r w:rsidR="00972919" w:rsidRPr="007503BF">
        <w:rPr>
          <w:rFonts w:eastAsia="Times New Roman"/>
          <w:lang w:val="ro-RO" w:eastAsia="ro-MD"/>
        </w:rPr>
        <w:t>conducătorul</w:t>
      </w:r>
      <w:r w:rsidR="00965AA9" w:rsidRPr="007503BF">
        <w:rPr>
          <w:rFonts w:eastAsia="Times New Roman"/>
          <w:lang w:val="ro-RO" w:eastAsia="ro-MD"/>
        </w:rPr>
        <w:t>ui</w:t>
      </w:r>
      <w:r w:rsidR="00972919" w:rsidRPr="007503BF">
        <w:rPr>
          <w:rFonts w:eastAsia="Times New Roman"/>
          <w:lang w:val="ro-RO" w:eastAsia="ro-MD"/>
        </w:rPr>
        <w:t xml:space="preserve"> entității raportoare</w:t>
      </w:r>
      <w:r w:rsidR="00965AA9" w:rsidRPr="007503BF">
        <w:rPr>
          <w:rFonts w:eastAsia="Times New Roman"/>
          <w:lang w:val="ro-RO" w:eastAsia="ro-MD"/>
        </w:rPr>
        <w:t>”</w:t>
      </w:r>
      <w:r w:rsidR="00972919" w:rsidRPr="007503BF">
        <w:rPr>
          <w:rFonts w:eastAsia="Times New Roman"/>
          <w:lang w:val="ro-RO" w:eastAsia="ro-MD"/>
        </w:rPr>
        <w:t>.</w:t>
      </w:r>
    </w:p>
    <w:bookmarkEnd w:id="17"/>
    <w:p w14:paraId="2F5FFFF4" w14:textId="50AB37AA" w:rsidR="008A30D0" w:rsidRPr="007503BF" w:rsidRDefault="00863F12" w:rsidP="008A30D0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 xml:space="preserve">4. </w:t>
      </w:r>
      <w:r w:rsidR="008A30D0" w:rsidRPr="007503BF">
        <w:rPr>
          <w:rFonts w:eastAsia="Times New Roman"/>
          <w:lang w:val="ro-RO" w:eastAsia="ro-MD"/>
        </w:rPr>
        <w:t xml:space="preserve">În tabelul </w:t>
      </w:r>
      <w:r w:rsidR="00311CF6" w:rsidRPr="007503BF">
        <w:rPr>
          <w:rFonts w:eastAsia="Times New Roman"/>
          <w:lang w:val="ro-RO" w:eastAsia="ro-MD"/>
        </w:rPr>
        <w:t>„</w:t>
      </w:r>
      <w:r w:rsidR="008A30D0" w:rsidRPr="007503BF">
        <w:rPr>
          <w:rFonts w:eastAsia="Times New Roman"/>
          <w:lang w:val="ro-RO" w:eastAsia="ro-MD"/>
        </w:rPr>
        <w:t>Raportările din cadrul SIRBNM pentru care se solicită drepturi de acces</w:t>
      </w:r>
      <w:r w:rsidR="00311CF6" w:rsidRPr="007503BF">
        <w:rPr>
          <w:rFonts w:eastAsia="Times New Roman"/>
          <w:lang w:val="ro-RO" w:eastAsia="ro-MD"/>
        </w:rPr>
        <w:t>”</w:t>
      </w:r>
      <w:r w:rsidR="008A30D0" w:rsidRPr="007503BF">
        <w:rPr>
          <w:rFonts w:eastAsia="Times New Roman"/>
          <w:lang w:val="ro-RO" w:eastAsia="ro-MD"/>
        </w:rPr>
        <w:t xml:space="preserve"> se specifică lista rapoartelor la care persoanei autorizate i se acordă acces </w:t>
      </w:r>
      <w:proofErr w:type="spellStart"/>
      <w:r w:rsidR="008A30D0" w:rsidRPr="007503BF">
        <w:rPr>
          <w:rFonts w:eastAsia="Times New Roman"/>
          <w:lang w:val="ro-RO" w:eastAsia="ro-MD"/>
        </w:rPr>
        <w:t>şi</w:t>
      </w:r>
      <w:proofErr w:type="spellEnd"/>
      <w:r w:rsidR="008A30D0" w:rsidRPr="007503BF">
        <w:rPr>
          <w:rFonts w:eastAsia="Times New Roman"/>
          <w:lang w:val="ro-RO" w:eastAsia="ro-MD"/>
        </w:rPr>
        <w:t xml:space="preserve"> tipul de drepturi asupra acestora. Pentru rapoartele din tabelul 1, anexa </w:t>
      </w:r>
      <w:r w:rsidR="007E3A6F">
        <w:rPr>
          <w:rFonts w:eastAsia="Times New Roman"/>
          <w:lang w:val="ro-RO" w:eastAsia="ro-MD"/>
        </w:rPr>
        <w:t>nr.</w:t>
      </w:r>
      <w:r w:rsidR="008A30D0" w:rsidRPr="007503BF">
        <w:rPr>
          <w:rFonts w:eastAsia="Times New Roman"/>
          <w:lang w:val="ro-RO" w:eastAsia="ro-MD"/>
        </w:rPr>
        <w:t xml:space="preserve">1 se indică codul </w:t>
      </w:r>
      <w:proofErr w:type="spellStart"/>
      <w:r w:rsidR="008A30D0" w:rsidRPr="007503BF">
        <w:rPr>
          <w:rFonts w:eastAsia="Times New Roman"/>
          <w:lang w:val="ro-RO" w:eastAsia="ro-MD"/>
        </w:rPr>
        <w:t>instanţei</w:t>
      </w:r>
      <w:proofErr w:type="spellEnd"/>
      <w:r w:rsidR="008A30D0" w:rsidRPr="007503BF">
        <w:rPr>
          <w:rFonts w:eastAsia="Times New Roman"/>
          <w:lang w:val="ro-RO" w:eastAsia="ro-MD"/>
        </w:rPr>
        <w:t xml:space="preserve"> (coloana 1), denumirea </w:t>
      </w:r>
      <w:proofErr w:type="spellStart"/>
      <w:r w:rsidR="008A30D0" w:rsidRPr="007503BF">
        <w:rPr>
          <w:rFonts w:eastAsia="Times New Roman"/>
          <w:lang w:val="ro-RO" w:eastAsia="ro-MD"/>
        </w:rPr>
        <w:t>instanţei</w:t>
      </w:r>
      <w:proofErr w:type="spellEnd"/>
      <w:r w:rsidR="008A30D0" w:rsidRPr="007503BF">
        <w:rPr>
          <w:rFonts w:eastAsia="Times New Roman"/>
          <w:lang w:val="ro-RO" w:eastAsia="ro-MD"/>
        </w:rPr>
        <w:t xml:space="preserve"> (coloana 2) </w:t>
      </w:r>
      <w:proofErr w:type="spellStart"/>
      <w:r w:rsidR="008A30D0" w:rsidRPr="007503BF">
        <w:rPr>
          <w:rFonts w:eastAsia="Times New Roman"/>
          <w:lang w:val="ro-RO" w:eastAsia="ro-MD"/>
        </w:rPr>
        <w:t>şi</w:t>
      </w:r>
      <w:proofErr w:type="spellEnd"/>
      <w:r w:rsidR="008A30D0" w:rsidRPr="007503BF">
        <w:rPr>
          <w:rFonts w:eastAsia="Times New Roman"/>
          <w:lang w:val="ro-RO" w:eastAsia="ro-MD"/>
        </w:rPr>
        <w:t xml:space="preserve"> tipul de drepturi</w:t>
      </w:r>
      <w:r w:rsidR="00D63646" w:rsidRPr="007503BF">
        <w:rPr>
          <w:rFonts w:eastAsia="Times New Roman"/>
          <w:lang w:val="ro-RO" w:eastAsia="ro-MD"/>
        </w:rPr>
        <w:t xml:space="preserve"> solicitate</w:t>
      </w:r>
      <w:r w:rsidR="008A30D0" w:rsidRPr="007503BF">
        <w:rPr>
          <w:rFonts w:eastAsia="Times New Roman"/>
          <w:lang w:val="ro-RO" w:eastAsia="ro-MD"/>
        </w:rPr>
        <w:t xml:space="preserve"> (coloanele 3 </w:t>
      </w:r>
      <w:proofErr w:type="spellStart"/>
      <w:r w:rsidR="008A30D0" w:rsidRPr="007503BF">
        <w:rPr>
          <w:rFonts w:eastAsia="Times New Roman"/>
          <w:lang w:val="ro-RO" w:eastAsia="ro-MD"/>
        </w:rPr>
        <w:t>şi</w:t>
      </w:r>
      <w:proofErr w:type="spellEnd"/>
      <w:r w:rsidR="008A30D0" w:rsidRPr="007503BF">
        <w:rPr>
          <w:rFonts w:eastAsia="Times New Roman"/>
          <w:lang w:val="ro-RO" w:eastAsia="ro-MD"/>
        </w:rPr>
        <w:t xml:space="preserve"> 4). </w:t>
      </w:r>
    </w:p>
    <w:p w14:paraId="10EAED44" w14:textId="3679D96A" w:rsidR="008A30D0" w:rsidRPr="007503BF" w:rsidRDefault="00275C19" w:rsidP="008A30D0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>5</w:t>
      </w:r>
      <w:r w:rsidR="00330169" w:rsidRPr="007503BF">
        <w:rPr>
          <w:rFonts w:eastAsia="Times New Roman"/>
          <w:lang w:val="ro-RO" w:eastAsia="ro-MD"/>
        </w:rPr>
        <w:t>.</w:t>
      </w:r>
      <w:r w:rsidR="008A30D0" w:rsidRPr="007503BF">
        <w:rPr>
          <w:rFonts w:eastAsia="Times New Roman"/>
          <w:lang w:val="ro-RO" w:eastAsia="ro-MD"/>
        </w:rPr>
        <w:t xml:space="preserve"> În rubrica </w:t>
      </w:r>
      <w:r w:rsidR="00311CF6" w:rsidRPr="007503BF">
        <w:rPr>
          <w:rFonts w:eastAsia="Times New Roman"/>
          <w:lang w:val="ro-RO" w:eastAsia="ro-MD"/>
        </w:rPr>
        <w:t>„</w:t>
      </w:r>
      <w:r w:rsidR="008A30D0" w:rsidRPr="007503BF">
        <w:rPr>
          <w:rFonts w:eastAsia="Times New Roman"/>
          <w:lang w:val="ro-RO" w:eastAsia="ro-MD"/>
        </w:rPr>
        <w:t>Tip drepturi (vizualizare, export, creare/modificare, semnare)</w:t>
      </w:r>
      <w:r w:rsidR="00311CF6" w:rsidRPr="007503BF">
        <w:rPr>
          <w:rFonts w:eastAsia="Times New Roman"/>
          <w:lang w:val="ro-RO" w:eastAsia="ro-MD"/>
        </w:rPr>
        <w:t>”</w:t>
      </w:r>
      <w:r w:rsidR="008A30D0" w:rsidRPr="007503BF">
        <w:rPr>
          <w:rFonts w:eastAsia="Times New Roman"/>
          <w:lang w:val="ro-RO" w:eastAsia="ro-MD"/>
        </w:rPr>
        <w:t xml:space="preserve"> se indică tipul dreptului solicitat conform nomenclatorului prestabilit</w:t>
      </w:r>
      <w:r w:rsidR="00B30ED6" w:rsidRPr="007503BF">
        <w:rPr>
          <w:rFonts w:eastAsia="Times New Roman"/>
          <w:lang w:val="ro-RO" w:eastAsia="ro-MD"/>
        </w:rPr>
        <w:t xml:space="preserve"> pentru fiecare </w:t>
      </w:r>
      <w:r w:rsidR="00F919EA" w:rsidRPr="007503BF">
        <w:rPr>
          <w:rFonts w:eastAsia="Times New Roman"/>
          <w:lang w:val="ro-RO" w:eastAsia="ro-MD"/>
        </w:rPr>
        <w:t>canal de transmitere</w:t>
      </w:r>
      <w:r w:rsidR="003101CE" w:rsidRPr="007503BF">
        <w:rPr>
          <w:rFonts w:eastAsia="Times New Roman"/>
          <w:lang w:val="ro-RO" w:eastAsia="ro-MD"/>
        </w:rPr>
        <w:t>:</w:t>
      </w:r>
      <w:r w:rsidR="00F919EA" w:rsidRPr="007503BF">
        <w:rPr>
          <w:rFonts w:eastAsia="Times New Roman"/>
          <w:lang w:val="ro-RO" w:eastAsia="ro-MD"/>
        </w:rPr>
        <w:t xml:space="preserve"> </w:t>
      </w:r>
    </w:p>
    <w:p w14:paraId="4D6DD0BC" w14:textId="6486F537" w:rsidR="00F919EA" w:rsidRPr="007503BF" w:rsidRDefault="00827D91" w:rsidP="0079364E">
      <w:pPr>
        <w:spacing w:before="120"/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>1</w:t>
      </w:r>
      <w:r w:rsidR="00F919EA" w:rsidRPr="007503BF">
        <w:rPr>
          <w:rFonts w:eastAsia="Times New Roman"/>
          <w:lang w:val="ro-RO" w:eastAsia="ro-MD"/>
        </w:rPr>
        <w:t xml:space="preserve">) </w:t>
      </w:r>
      <w:r w:rsidR="003101CE" w:rsidRPr="007503BF">
        <w:rPr>
          <w:rFonts w:eastAsia="Times New Roman"/>
          <w:lang w:val="ro-RO" w:eastAsia="ro-MD"/>
        </w:rPr>
        <w:t xml:space="preserve">pentru rapoartele transmise prin canalul de transmitere </w:t>
      </w:r>
      <w:r w:rsidR="007E3A6F">
        <w:rPr>
          <w:rFonts w:eastAsia="Times New Roman"/>
          <w:lang w:val="ro-RO" w:eastAsia="ro-MD"/>
        </w:rPr>
        <w:t>p</w:t>
      </w:r>
      <w:r w:rsidR="00F919EA" w:rsidRPr="007503BF">
        <w:rPr>
          <w:rFonts w:eastAsia="Times New Roman"/>
          <w:lang w:val="ro-RO" w:eastAsia="ro-MD"/>
        </w:rPr>
        <w:t>ortal SIRBNM</w:t>
      </w:r>
      <w:r w:rsidR="003101CE" w:rsidRPr="007503BF">
        <w:rPr>
          <w:rFonts w:eastAsia="Times New Roman"/>
          <w:lang w:val="ro-RO" w:eastAsia="ro-MD"/>
        </w:rPr>
        <w:t xml:space="preserve"> (conform </w:t>
      </w:r>
      <w:r w:rsidR="007E3A6F">
        <w:rPr>
          <w:rFonts w:eastAsia="Times New Roman"/>
          <w:lang w:val="ro-RO" w:eastAsia="ro-MD"/>
        </w:rPr>
        <w:t>t</w:t>
      </w:r>
      <w:r w:rsidR="00BC0A6F" w:rsidRPr="007503BF">
        <w:rPr>
          <w:rFonts w:eastAsia="Times New Roman"/>
          <w:lang w:val="ro-RO" w:eastAsia="ro-MD"/>
        </w:rPr>
        <w:t xml:space="preserve">abelului </w:t>
      </w:r>
      <w:r w:rsidR="003101CE" w:rsidRPr="007503BF">
        <w:rPr>
          <w:rFonts w:eastAsia="Times New Roman"/>
          <w:lang w:val="ro-RO" w:eastAsia="ro-MD"/>
        </w:rPr>
        <w:t xml:space="preserve">1 din anexa </w:t>
      </w:r>
      <w:r w:rsidR="007E3A6F">
        <w:rPr>
          <w:rFonts w:eastAsia="Times New Roman"/>
          <w:lang w:val="ro-RO" w:eastAsia="ro-MD"/>
        </w:rPr>
        <w:t>nr.</w:t>
      </w:r>
      <w:r w:rsidR="003101CE" w:rsidRPr="007503BF">
        <w:rPr>
          <w:rFonts w:eastAsia="Times New Roman"/>
          <w:lang w:val="ro-RO" w:eastAsia="ro-MD"/>
        </w:rPr>
        <w:t>1):</w:t>
      </w:r>
    </w:p>
    <w:p w14:paraId="1F9CF0F8" w14:textId="287A3E10" w:rsidR="008A30D0" w:rsidRPr="007503BF" w:rsidRDefault="008A30D0" w:rsidP="008A30D0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lastRenderedPageBreak/>
        <w:t xml:space="preserve">NA – </w:t>
      </w:r>
      <w:r w:rsidR="007E3A6F">
        <w:rPr>
          <w:rFonts w:eastAsia="Times New Roman"/>
          <w:lang w:val="ro-RO" w:eastAsia="ro-MD"/>
        </w:rPr>
        <w:t>f</w:t>
      </w:r>
      <w:r w:rsidRPr="007503BF">
        <w:rPr>
          <w:rFonts w:eastAsia="Times New Roman"/>
          <w:lang w:val="ro-RO" w:eastAsia="ro-MD"/>
        </w:rPr>
        <w:t>ără drepturi</w:t>
      </w:r>
      <w:r w:rsidR="006D27DE" w:rsidRPr="007503BF">
        <w:rPr>
          <w:rFonts w:eastAsia="Times New Roman"/>
          <w:lang w:val="ro-RO" w:eastAsia="ro-MD"/>
        </w:rPr>
        <w:t>.</w:t>
      </w:r>
      <w:r w:rsidRPr="007503BF">
        <w:rPr>
          <w:rFonts w:eastAsia="Times New Roman"/>
          <w:lang w:val="ro-RO" w:eastAsia="ro-MD"/>
        </w:rPr>
        <w:t xml:space="preserve"> </w:t>
      </w:r>
      <w:r w:rsidR="006D27DE" w:rsidRPr="007503BF">
        <w:rPr>
          <w:rFonts w:eastAsia="Times New Roman"/>
          <w:lang w:val="ro-RO" w:eastAsia="ro-MD"/>
        </w:rPr>
        <w:t>S</w:t>
      </w:r>
      <w:r w:rsidRPr="007503BF">
        <w:rPr>
          <w:rFonts w:eastAsia="Times New Roman"/>
          <w:lang w:val="ro-RO" w:eastAsia="ro-MD"/>
        </w:rPr>
        <w:t>e utilizează dacă utilizatorul are nevoie de acces la raport doar prin intermediul</w:t>
      </w:r>
      <w:r w:rsidR="006D27DE" w:rsidRPr="007503BF">
        <w:rPr>
          <w:rFonts w:eastAsia="Times New Roman"/>
          <w:lang w:val="ro-RO" w:eastAsia="ro-MD"/>
        </w:rPr>
        <w:t xml:space="preserve"> unui singur</w:t>
      </w:r>
      <w:r w:rsidRPr="007503BF">
        <w:rPr>
          <w:rFonts w:eastAsia="Times New Roman"/>
          <w:lang w:val="ro-RO" w:eastAsia="ro-MD"/>
        </w:rPr>
        <w:t xml:space="preserve"> </w:t>
      </w:r>
      <w:r w:rsidR="006D27DE" w:rsidRPr="007503BF">
        <w:rPr>
          <w:rFonts w:eastAsia="Times New Roman"/>
          <w:lang w:val="ro-RO" w:eastAsia="ro-MD"/>
        </w:rPr>
        <w:t>mediu</w:t>
      </w:r>
      <w:r w:rsidRPr="007503BF">
        <w:rPr>
          <w:rFonts w:eastAsia="Times New Roman"/>
          <w:lang w:val="ro-RO" w:eastAsia="ro-MD"/>
        </w:rPr>
        <w:t xml:space="preserve"> (</w:t>
      </w:r>
      <w:r w:rsidR="00AF5A3E" w:rsidRPr="007503BF">
        <w:rPr>
          <w:rFonts w:eastAsia="Times New Roman"/>
          <w:lang w:val="ro-RO" w:eastAsia="ro-MD"/>
        </w:rPr>
        <w:t xml:space="preserve">de ex. </w:t>
      </w:r>
      <w:r w:rsidR="006D27DE" w:rsidRPr="007503BF">
        <w:rPr>
          <w:rFonts w:eastAsia="Times New Roman"/>
          <w:lang w:val="ro-RO" w:eastAsia="ro-MD"/>
        </w:rPr>
        <w:t xml:space="preserve">dacă se solicită acces doar pe mediul de test, </w:t>
      </w:r>
      <w:r w:rsidRPr="007503BF">
        <w:rPr>
          <w:rFonts w:eastAsia="Times New Roman"/>
          <w:lang w:val="ro-RO" w:eastAsia="ro-MD"/>
        </w:rPr>
        <w:t xml:space="preserve">pentru mediul de </w:t>
      </w:r>
      <w:proofErr w:type="spellStart"/>
      <w:r w:rsidRPr="007503BF">
        <w:rPr>
          <w:rFonts w:eastAsia="Times New Roman"/>
          <w:lang w:val="ro-RO" w:eastAsia="ro-MD"/>
        </w:rPr>
        <w:t>producţie</w:t>
      </w:r>
      <w:proofErr w:type="spellEnd"/>
      <w:r w:rsidR="00D63646" w:rsidRPr="007503BF">
        <w:rPr>
          <w:rFonts w:eastAsia="Times New Roman"/>
          <w:lang w:val="ro-RO" w:eastAsia="ro-MD"/>
        </w:rPr>
        <w:t xml:space="preserve"> (coloana 3)</w:t>
      </w:r>
      <w:r w:rsidR="007E3A6F">
        <w:rPr>
          <w:rFonts w:eastAsia="Times New Roman"/>
          <w:lang w:val="ro-RO" w:eastAsia="ro-MD"/>
        </w:rPr>
        <w:t>,</w:t>
      </w:r>
      <w:r w:rsidRPr="007503BF">
        <w:rPr>
          <w:rFonts w:eastAsia="Times New Roman"/>
          <w:lang w:val="ro-RO" w:eastAsia="ro-MD"/>
        </w:rPr>
        <w:t xml:space="preserve"> se va indica NA);</w:t>
      </w:r>
    </w:p>
    <w:p w14:paraId="237EDFD1" w14:textId="301A36F0" w:rsidR="008A30D0" w:rsidRPr="007503BF" w:rsidRDefault="008A30D0" w:rsidP="008A30D0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 xml:space="preserve">VE – </w:t>
      </w:r>
      <w:r w:rsidR="00E93F12" w:rsidRPr="007503BF">
        <w:rPr>
          <w:rFonts w:eastAsia="Times New Roman"/>
          <w:lang w:val="ro-RO" w:eastAsia="ro-MD"/>
        </w:rPr>
        <w:t>vizualizare și validare raport</w:t>
      </w:r>
      <w:r w:rsidRPr="007503BF">
        <w:rPr>
          <w:rFonts w:eastAsia="Times New Roman"/>
          <w:lang w:val="ro-RO" w:eastAsia="ro-MD"/>
        </w:rPr>
        <w:t xml:space="preserve"> </w:t>
      </w:r>
      <w:proofErr w:type="spellStart"/>
      <w:r w:rsidRPr="007503BF">
        <w:rPr>
          <w:rFonts w:eastAsia="Times New Roman"/>
          <w:lang w:val="ro-RO" w:eastAsia="ro-MD"/>
        </w:rPr>
        <w:t>şi</w:t>
      </w:r>
      <w:proofErr w:type="spellEnd"/>
      <w:r w:rsidRPr="007503BF">
        <w:rPr>
          <w:rFonts w:eastAsia="Times New Roman"/>
          <w:lang w:val="ro-RO" w:eastAsia="ro-MD"/>
        </w:rPr>
        <w:t xml:space="preserve"> dreptul de a exporta datele în format Excel/XBRL din cadrul portalului SIRBNM;</w:t>
      </w:r>
    </w:p>
    <w:p w14:paraId="555D0C72" w14:textId="77777777" w:rsidR="008A30D0" w:rsidRPr="007503BF" w:rsidRDefault="008A30D0" w:rsidP="008A30D0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 xml:space="preserve">CM – drepturile specificate pentru VE </w:t>
      </w:r>
      <w:proofErr w:type="spellStart"/>
      <w:r w:rsidRPr="007503BF">
        <w:rPr>
          <w:rFonts w:eastAsia="Times New Roman"/>
          <w:lang w:val="ro-RO" w:eastAsia="ro-MD"/>
        </w:rPr>
        <w:t>şi</w:t>
      </w:r>
      <w:proofErr w:type="spellEnd"/>
      <w:r w:rsidRPr="007503BF">
        <w:rPr>
          <w:rFonts w:eastAsia="Times New Roman"/>
          <w:lang w:val="ro-RO" w:eastAsia="ro-MD"/>
        </w:rPr>
        <w:t xml:space="preserve"> încărcare, creare, creare document vid, modificare </w:t>
      </w:r>
      <w:proofErr w:type="spellStart"/>
      <w:r w:rsidRPr="007503BF">
        <w:rPr>
          <w:rFonts w:eastAsia="Times New Roman"/>
          <w:lang w:val="ro-RO" w:eastAsia="ro-MD"/>
        </w:rPr>
        <w:t>şi</w:t>
      </w:r>
      <w:proofErr w:type="spellEnd"/>
      <w:r w:rsidRPr="007503BF">
        <w:rPr>
          <w:rFonts w:eastAsia="Times New Roman"/>
          <w:lang w:val="ro-RO" w:eastAsia="ro-MD"/>
        </w:rPr>
        <w:t xml:space="preserve"> </w:t>
      </w:r>
      <w:proofErr w:type="spellStart"/>
      <w:r w:rsidRPr="007503BF">
        <w:rPr>
          <w:rFonts w:eastAsia="Times New Roman"/>
          <w:lang w:val="ro-RO" w:eastAsia="ro-MD"/>
        </w:rPr>
        <w:t>ştergere</w:t>
      </w:r>
      <w:proofErr w:type="spellEnd"/>
      <w:r w:rsidRPr="007503BF">
        <w:rPr>
          <w:rFonts w:eastAsia="Times New Roman"/>
          <w:lang w:val="ro-RO" w:eastAsia="ro-MD"/>
        </w:rPr>
        <w:t xml:space="preserve"> raport </w:t>
      </w:r>
      <w:bookmarkStart w:id="18" w:name="_Hlk152599913"/>
      <w:r w:rsidRPr="007503BF">
        <w:rPr>
          <w:rFonts w:eastAsia="Times New Roman"/>
          <w:lang w:val="ro-RO" w:eastAsia="ro-MD"/>
        </w:rPr>
        <w:t>în cadrul portalului SIRBNM</w:t>
      </w:r>
      <w:bookmarkEnd w:id="18"/>
      <w:r w:rsidRPr="007503BF">
        <w:rPr>
          <w:rFonts w:eastAsia="Times New Roman"/>
          <w:lang w:val="ro-RO" w:eastAsia="ro-MD"/>
        </w:rPr>
        <w:t>;</w:t>
      </w:r>
    </w:p>
    <w:p w14:paraId="6DB3621B" w14:textId="130E6C78" w:rsidR="008A30D0" w:rsidRPr="007503BF" w:rsidRDefault="008A30D0" w:rsidP="008A30D0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 xml:space="preserve">SA – drepturile specificate pentru CM </w:t>
      </w:r>
      <w:proofErr w:type="spellStart"/>
      <w:r w:rsidRPr="007503BF">
        <w:rPr>
          <w:rFonts w:eastAsia="Times New Roman"/>
          <w:lang w:val="ro-RO" w:eastAsia="ro-MD"/>
        </w:rPr>
        <w:t>şi</w:t>
      </w:r>
      <w:proofErr w:type="spellEnd"/>
      <w:r w:rsidRPr="007503BF">
        <w:rPr>
          <w:rFonts w:eastAsia="Times New Roman"/>
          <w:lang w:val="ro-RO" w:eastAsia="ro-MD"/>
        </w:rPr>
        <w:t xml:space="preserve"> semnare </w:t>
      </w:r>
      <w:r w:rsidR="007E3A6F">
        <w:rPr>
          <w:rFonts w:eastAsia="Times New Roman"/>
          <w:lang w:val="ro-RO" w:eastAsia="ro-MD"/>
        </w:rPr>
        <w:t xml:space="preserve">a </w:t>
      </w:r>
      <w:r w:rsidRPr="007503BF">
        <w:rPr>
          <w:rFonts w:eastAsia="Times New Roman"/>
          <w:lang w:val="ro-RO" w:eastAsia="ro-MD"/>
        </w:rPr>
        <w:t>rapoarte</w:t>
      </w:r>
      <w:r w:rsidR="007E3A6F">
        <w:rPr>
          <w:rFonts w:eastAsia="Times New Roman"/>
          <w:lang w:val="ro-RO" w:eastAsia="ro-MD"/>
        </w:rPr>
        <w:t>lor</w:t>
      </w:r>
      <w:r w:rsidR="000265B3" w:rsidRPr="007503BF">
        <w:rPr>
          <w:rFonts w:eastAsia="Times New Roman"/>
          <w:lang w:val="ro-RO" w:eastAsia="ro-MD"/>
        </w:rPr>
        <w:t xml:space="preserve"> în cadrul portalului SIRBNM</w:t>
      </w:r>
      <w:r w:rsidR="00774896" w:rsidRPr="007503BF">
        <w:rPr>
          <w:rFonts w:eastAsia="Times New Roman"/>
          <w:lang w:val="ro-RO" w:eastAsia="ro-MD"/>
        </w:rPr>
        <w:t>.</w:t>
      </w:r>
    </w:p>
    <w:p w14:paraId="4E6DB551" w14:textId="7766A76A" w:rsidR="00774896" w:rsidRPr="007503BF" w:rsidRDefault="00827D91" w:rsidP="00774896">
      <w:pPr>
        <w:spacing w:before="120"/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>2</w:t>
      </w:r>
      <w:r w:rsidR="00774896" w:rsidRPr="007503BF">
        <w:rPr>
          <w:rFonts w:eastAsia="Times New Roman"/>
          <w:lang w:val="ro-RO" w:eastAsia="ro-MD"/>
        </w:rPr>
        <w:t xml:space="preserve">) </w:t>
      </w:r>
      <w:bookmarkStart w:id="19" w:name="_Hlk152598733"/>
      <w:r w:rsidR="00774896" w:rsidRPr="007503BF">
        <w:rPr>
          <w:rFonts w:eastAsia="Times New Roman"/>
          <w:lang w:val="ro-RO" w:eastAsia="ro-MD"/>
        </w:rPr>
        <w:t xml:space="preserve">pentru rapoartele transmise prin canalul de transmitere </w:t>
      </w:r>
      <w:r w:rsidR="007E3A6F">
        <w:rPr>
          <w:rFonts w:eastAsia="Times New Roman"/>
          <w:lang w:val="ro-RO" w:eastAsia="ro-MD"/>
        </w:rPr>
        <w:t>p</w:t>
      </w:r>
      <w:r w:rsidR="00774896" w:rsidRPr="007503BF">
        <w:rPr>
          <w:rFonts w:eastAsia="Times New Roman"/>
          <w:lang w:val="ro-RO" w:eastAsia="ro-MD"/>
        </w:rPr>
        <w:t xml:space="preserve">ortal SIA SIREM (conform </w:t>
      </w:r>
      <w:r w:rsidR="007E3A6F">
        <w:rPr>
          <w:rFonts w:eastAsia="Times New Roman"/>
          <w:lang w:val="ro-RO" w:eastAsia="ro-MD"/>
        </w:rPr>
        <w:t>t</w:t>
      </w:r>
      <w:r w:rsidR="00774896" w:rsidRPr="007503BF">
        <w:rPr>
          <w:rFonts w:eastAsia="Times New Roman"/>
          <w:lang w:val="ro-RO" w:eastAsia="ro-MD"/>
        </w:rPr>
        <w:t>abelul</w:t>
      </w:r>
      <w:r w:rsidR="0079364E" w:rsidRPr="007503BF">
        <w:rPr>
          <w:rFonts w:eastAsia="Times New Roman"/>
          <w:lang w:val="ro-RO" w:eastAsia="ro-MD"/>
        </w:rPr>
        <w:t>ui</w:t>
      </w:r>
      <w:r w:rsidR="00774896" w:rsidRPr="007503BF">
        <w:rPr>
          <w:rFonts w:eastAsia="Times New Roman"/>
          <w:lang w:val="ro-RO" w:eastAsia="ro-MD"/>
        </w:rPr>
        <w:t xml:space="preserve"> 1 din anexa</w:t>
      </w:r>
      <w:r w:rsidR="007E3A6F">
        <w:rPr>
          <w:rFonts w:eastAsia="Times New Roman"/>
          <w:lang w:val="ro-RO" w:eastAsia="ro-MD"/>
        </w:rPr>
        <w:t xml:space="preserve"> nr.</w:t>
      </w:r>
      <w:r w:rsidR="00774896" w:rsidRPr="007503BF">
        <w:rPr>
          <w:rFonts w:eastAsia="Times New Roman"/>
          <w:lang w:val="ro-RO" w:eastAsia="ro-MD"/>
        </w:rPr>
        <w:t xml:space="preserve"> 1):</w:t>
      </w:r>
    </w:p>
    <w:p w14:paraId="3C379924" w14:textId="4FBB7EBB" w:rsidR="00774896" w:rsidRPr="007503BF" w:rsidRDefault="003C4CC9" w:rsidP="008A30D0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 xml:space="preserve">CR – drepturi </w:t>
      </w:r>
      <w:r w:rsidR="00D865B4" w:rsidRPr="007503BF">
        <w:rPr>
          <w:rFonts w:eastAsia="Times New Roman"/>
          <w:lang w:val="ro-RO" w:eastAsia="ro-MD"/>
        </w:rPr>
        <w:t>încărcare, creare, modificare raport în cadrul portalului SIA SIREM;</w:t>
      </w:r>
    </w:p>
    <w:p w14:paraId="6A038DAD" w14:textId="01056501" w:rsidR="007A7F24" w:rsidRPr="007503BF" w:rsidRDefault="003C4CC9" w:rsidP="007A7F24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 xml:space="preserve">SR </w:t>
      </w:r>
      <w:r w:rsidR="00E93F12" w:rsidRPr="007503BF">
        <w:rPr>
          <w:rFonts w:eastAsia="Times New Roman"/>
          <w:lang w:val="ro-RO" w:eastAsia="ro-MD"/>
        </w:rPr>
        <w:t>–</w:t>
      </w:r>
      <w:r w:rsidR="00DB06AD" w:rsidRPr="007503BF">
        <w:rPr>
          <w:rFonts w:eastAsia="Times New Roman"/>
          <w:lang w:val="ro-RO" w:eastAsia="ro-MD"/>
        </w:rPr>
        <w:t xml:space="preserve"> drepturile specificate pentru CR </w:t>
      </w:r>
      <w:proofErr w:type="spellStart"/>
      <w:r w:rsidR="00DB06AD" w:rsidRPr="007503BF">
        <w:rPr>
          <w:rFonts w:eastAsia="Times New Roman"/>
          <w:lang w:val="ro-RO" w:eastAsia="ro-MD"/>
        </w:rPr>
        <w:t>şi</w:t>
      </w:r>
      <w:proofErr w:type="spellEnd"/>
      <w:r w:rsidR="00DB06AD" w:rsidRPr="007503BF">
        <w:rPr>
          <w:rFonts w:eastAsia="Times New Roman"/>
          <w:lang w:val="ro-RO" w:eastAsia="ro-MD"/>
        </w:rPr>
        <w:t xml:space="preserve"> semnare rapoarte</w:t>
      </w:r>
      <w:r w:rsidR="00CC40CD" w:rsidRPr="007503BF">
        <w:rPr>
          <w:rFonts w:eastAsia="Times New Roman"/>
          <w:lang w:val="ro-RO" w:eastAsia="ro-MD"/>
        </w:rPr>
        <w:t xml:space="preserve"> în cadrul portalului SIA SIREM</w:t>
      </w:r>
      <w:r w:rsidR="00DB06AD" w:rsidRPr="007503BF">
        <w:rPr>
          <w:rFonts w:eastAsia="Times New Roman"/>
          <w:lang w:val="ro-RO" w:eastAsia="ro-MD"/>
        </w:rPr>
        <w:t>.</w:t>
      </w:r>
    </w:p>
    <w:p w14:paraId="1DCDF6DC" w14:textId="38317CA1" w:rsidR="0079364E" w:rsidRPr="007503BF" w:rsidRDefault="00827D91" w:rsidP="0079364E">
      <w:pPr>
        <w:spacing w:before="120"/>
        <w:ind w:firstLine="567"/>
        <w:jc w:val="both"/>
        <w:rPr>
          <w:rFonts w:eastAsia="Times New Roman"/>
          <w:lang w:val="ro-RO" w:eastAsia="ro-MD"/>
        </w:rPr>
      </w:pPr>
      <w:bookmarkStart w:id="20" w:name="_Hlk152600011"/>
      <w:bookmarkEnd w:id="19"/>
      <w:r w:rsidRPr="007503BF">
        <w:rPr>
          <w:rFonts w:eastAsia="Times New Roman"/>
          <w:lang w:val="ro-RO" w:eastAsia="ro-MD"/>
        </w:rPr>
        <w:t>3</w:t>
      </w:r>
      <w:r w:rsidR="0079364E" w:rsidRPr="007503BF">
        <w:rPr>
          <w:rFonts w:eastAsia="Times New Roman"/>
          <w:lang w:val="ro-RO" w:eastAsia="ro-MD"/>
        </w:rPr>
        <w:t>) pentru rapoartele transmise prin canalul de transmitere MT SIRBNM</w:t>
      </w:r>
      <w:r w:rsidR="00E7108C" w:rsidRPr="007503BF">
        <w:rPr>
          <w:rFonts w:eastAsia="Times New Roman"/>
          <w:lang w:val="ro-RO" w:eastAsia="ro-MD"/>
        </w:rPr>
        <w:t xml:space="preserve"> (conform </w:t>
      </w:r>
      <w:r w:rsidR="007E3A6F">
        <w:rPr>
          <w:rFonts w:eastAsia="Times New Roman"/>
          <w:lang w:val="ro-RO" w:eastAsia="ro-MD"/>
        </w:rPr>
        <w:t>t</w:t>
      </w:r>
      <w:r w:rsidR="007E3A6F" w:rsidRPr="007503BF">
        <w:rPr>
          <w:rFonts w:eastAsia="Times New Roman"/>
          <w:lang w:val="ro-RO" w:eastAsia="ro-MD"/>
        </w:rPr>
        <w:t xml:space="preserve">abelului </w:t>
      </w:r>
      <w:r w:rsidR="00E7108C" w:rsidRPr="007503BF">
        <w:rPr>
          <w:rFonts w:eastAsia="Times New Roman"/>
          <w:lang w:val="ro-RO" w:eastAsia="ro-MD"/>
        </w:rPr>
        <w:t xml:space="preserve">1 din anexa </w:t>
      </w:r>
      <w:r w:rsidR="007E3A6F">
        <w:rPr>
          <w:rFonts w:eastAsia="Times New Roman"/>
          <w:lang w:val="ro-RO" w:eastAsia="ro-MD"/>
        </w:rPr>
        <w:t>nr.</w:t>
      </w:r>
      <w:r w:rsidR="00E7108C" w:rsidRPr="007503BF">
        <w:rPr>
          <w:rFonts w:eastAsia="Times New Roman"/>
          <w:lang w:val="ro-RO" w:eastAsia="ro-MD"/>
        </w:rPr>
        <w:t>1)</w:t>
      </w:r>
      <w:r w:rsidR="006D359C" w:rsidRPr="007503BF">
        <w:rPr>
          <w:rFonts w:eastAsia="Times New Roman"/>
          <w:lang w:val="ro-RO" w:eastAsia="ro-MD"/>
        </w:rPr>
        <w:t>:</w:t>
      </w:r>
    </w:p>
    <w:bookmarkEnd w:id="20"/>
    <w:p w14:paraId="09C14761" w14:textId="4FB43F06" w:rsidR="0044354A" w:rsidRPr="007503BF" w:rsidRDefault="008A30D0" w:rsidP="00392C4C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>MT –</w:t>
      </w:r>
      <w:r w:rsidR="0079364E" w:rsidRPr="007503BF">
        <w:rPr>
          <w:rFonts w:eastAsia="Times New Roman"/>
          <w:lang w:val="ro-RO" w:eastAsia="ro-MD"/>
        </w:rPr>
        <w:t xml:space="preserve"> </w:t>
      </w:r>
      <w:r w:rsidRPr="007503BF">
        <w:rPr>
          <w:rFonts w:eastAsia="Times New Roman"/>
          <w:lang w:val="ro-RO" w:eastAsia="ro-MD"/>
        </w:rPr>
        <w:t xml:space="preserve">acces pentru a semna </w:t>
      </w:r>
      <w:proofErr w:type="spellStart"/>
      <w:r w:rsidRPr="007503BF">
        <w:rPr>
          <w:rFonts w:eastAsia="Times New Roman"/>
          <w:lang w:val="ro-RO" w:eastAsia="ro-MD"/>
        </w:rPr>
        <w:t>şi</w:t>
      </w:r>
      <w:proofErr w:type="spellEnd"/>
      <w:r w:rsidRPr="007503BF">
        <w:rPr>
          <w:rFonts w:eastAsia="Times New Roman"/>
          <w:lang w:val="ro-RO" w:eastAsia="ro-MD"/>
        </w:rPr>
        <w:t xml:space="preserve"> transmite rapoartele prin modulul de transport SIRBNM, </w:t>
      </w:r>
      <w:r w:rsidR="0068297B" w:rsidRPr="007503BF">
        <w:rPr>
          <w:rFonts w:eastAsia="Times New Roman"/>
          <w:lang w:val="ro-RO" w:eastAsia="ro-MD"/>
        </w:rPr>
        <w:t>nu include</w:t>
      </w:r>
      <w:r w:rsidRPr="007503BF">
        <w:rPr>
          <w:rFonts w:eastAsia="Times New Roman"/>
          <w:lang w:val="ro-RO" w:eastAsia="ro-MD"/>
        </w:rPr>
        <w:t xml:space="preserve"> dreptul de a vizualiza datele respective.</w:t>
      </w:r>
    </w:p>
    <w:p w14:paraId="6537CF55" w14:textId="7DCB66F6" w:rsidR="0068297B" w:rsidRPr="007503BF" w:rsidRDefault="00851FBE" w:rsidP="0068297B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>O</w:t>
      </w:r>
      <w:r w:rsidR="00337BED" w:rsidRPr="007503BF">
        <w:rPr>
          <w:rFonts w:eastAsia="Times New Roman"/>
          <w:lang w:val="ro-RO" w:eastAsia="ro-MD"/>
        </w:rPr>
        <w:t>pțiunea „</w:t>
      </w:r>
      <w:r w:rsidR="0068297B" w:rsidRPr="007503BF">
        <w:rPr>
          <w:rFonts w:eastAsia="Times New Roman"/>
          <w:lang w:val="ro-RO" w:eastAsia="ro-MD"/>
        </w:rPr>
        <w:t>Acces modul MFI</w:t>
      </w:r>
      <w:r w:rsidR="00337BED" w:rsidRPr="007503BF">
        <w:rPr>
          <w:rFonts w:eastAsia="Times New Roman"/>
          <w:lang w:val="ro-RO" w:eastAsia="ro-MD"/>
        </w:rPr>
        <w:t>”</w:t>
      </w:r>
      <w:r w:rsidRPr="007503BF">
        <w:rPr>
          <w:rFonts w:eastAsia="Times New Roman"/>
          <w:lang w:val="ro-RO" w:eastAsia="ro-MD"/>
        </w:rPr>
        <w:t xml:space="preserve"> </w:t>
      </w:r>
      <w:bookmarkStart w:id="21" w:name="_Hlk152600242"/>
      <w:r w:rsidRPr="007503BF">
        <w:rPr>
          <w:rFonts w:eastAsia="Times New Roman"/>
          <w:lang w:val="ro-RO" w:eastAsia="ro-MD"/>
        </w:rPr>
        <w:t>poate fi bifată doar dacă s-a solicitat acces</w:t>
      </w:r>
      <w:r w:rsidR="0068297B" w:rsidRPr="007503BF">
        <w:rPr>
          <w:rFonts w:eastAsia="Times New Roman"/>
          <w:lang w:val="ro-RO" w:eastAsia="ro-MD"/>
        </w:rPr>
        <w:t xml:space="preserve"> </w:t>
      </w:r>
      <w:r w:rsidRPr="007503BF">
        <w:rPr>
          <w:rFonts w:eastAsia="Times New Roman"/>
          <w:lang w:val="ro-RO" w:eastAsia="ro-MD"/>
        </w:rPr>
        <w:t>pentru rapoartele din domeniul RRC.</w:t>
      </w:r>
      <w:bookmarkEnd w:id="21"/>
      <w:r w:rsidRPr="007503BF">
        <w:rPr>
          <w:rFonts w:eastAsia="Times New Roman"/>
          <w:lang w:val="ro-RO" w:eastAsia="ro-MD"/>
        </w:rPr>
        <w:t xml:space="preserve"> </w:t>
      </w:r>
      <w:r w:rsidR="00B763BD" w:rsidRPr="007503BF">
        <w:rPr>
          <w:rFonts w:eastAsia="Times New Roman"/>
          <w:lang w:val="ro-RO" w:eastAsia="ro-MD"/>
        </w:rPr>
        <w:t xml:space="preserve">Opțiunea </w:t>
      </w:r>
      <w:r w:rsidR="0068297B" w:rsidRPr="007503BF">
        <w:rPr>
          <w:rFonts w:eastAsia="Times New Roman"/>
          <w:lang w:val="ro-RO" w:eastAsia="ro-MD"/>
        </w:rPr>
        <w:t xml:space="preserve">acordă persoanei autorizate dreptul de a accesa modulul MFI unde poate fi verificat: istoricul </w:t>
      </w:r>
      <w:proofErr w:type="spellStart"/>
      <w:r w:rsidR="0068297B" w:rsidRPr="007503BF">
        <w:rPr>
          <w:rFonts w:eastAsia="Times New Roman"/>
          <w:lang w:val="ro-RO" w:eastAsia="ro-MD"/>
        </w:rPr>
        <w:t>fişierelor</w:t>
      </w:r>
      <w:proofErr w:type="spellEnd"/>
      <w:r w:rsidR="0068297B" w:rsidRPr="007503BF">
        <w:rPr>
          <w:rFonts w:eastAsia="Times New Roman"/>
          <w:lang w:val="ro-RO" w:eastAsia="ro-MD"/>
        </w:rPr>
        <w:t xml:space="preserve"> raportate </w:t>
      </w:r>
      <w:proofErr w:type="spellStart"/>
      <w:r w:rsidR="0068297B" w:rsidRPr="007503BF">
        <w:rPr>
          <w:rFonts w:eastAsia="Times New Roman"/>
          <w:lang w:val="ro-RO" w:eastAsia="ro-MD"/>
        </w:rPr>
        <w:t>şi</w:t>
      </w:r>
      <w:proofErr w:type="spellEnd"/>
      <w:r w:rsidR="0068297B" w:rsidRPr="007503BF">
        <w:rPr>
          <w:rFonts w:eastAsia="Times New Roman"/>
          <w:lang w:val="ro-RO" w:eastAsia="ro-MD"/>
        </w:rPr>
        <w:t xml:space="preserve"> statutul acestora, erorile dintr-un anumit </w:t>
      </w:r>
      <w:proofErr w:type="spellStart"/>
      <w:r w:rsidR="0068297B" w:rsidRPr="007503BF">
        <w:rPr>
          <w:rFonts w:eastAsia="Times New Roman"/>
          <w:lang w:val="ro-RO" w:eastAsia="ro-MD"/>
        </w:rPr>
        <w:t>fişier</w:t>
      </w:r>
      <w:proofErr w:type="spellEnd"/>
      <w:r w:rsidR="0068297B" w:rsidRPr="007503BF">
        <w:rPr>
          <w:rFonts w:eastAsia="Times New Roman"/>
          <w:lang w:val="ro-RO" w:eastAsia="ro-MD"/>
        </w:rPr>
        <w:t xml:space="preserve"> de raportare ce a fost respins, consolidarea lunară a datelor raportate, </w:t>
      </w:r>
      <w:proofErr w:type="spellStart"/>
      <w:r w:rsidR="0068297B" w:rsidRPr="007503BF">
        <w:rPr>
          <w:rFonts w:eastAsia="Times New Roman"/>
          <w:lang w:val="ro-RO" w:eastAsia="ro-MD"/>
        </w:rPr>
        <w:t>inspecţia</w:t>
      </w:r>
      <w:proofErr w:type="spellEnd"/>
      <w:r w:rsidR="0068297B" w:rsidRPr="007503BF">
        <w:rPr>
          <w:rFonts w:eastAsia="Times New Roman"/>
          <w:lang w:val="ro-RO" w:eastAsia="ro-MD"/>
        </w:rPr>
        <w:t xml:space="preserve"> curentă (dacă este cazul) a portofoliului de credite ce a fost selectat, dar </w:t>
      </w:r>
      <w:proofErr w:type="spellStart"/>
      <w:r w:rsidR="0068297B" w:rsidRPr="007503BF">
        <w:rPr>
          <w:rFonts w:eastAsia="Times New Roman"/>
          <w:lang w:val="ro-RO" w:eastAsia="ro-MD"/>
        </w:rPr>
        <w:t>şi</w:t>
      </w:r>
      <w:proofErr w:type="spellEnd"/>
      <w:r w:rsidR="0068297B" w:rsidRPr="007503BF">
        <w:rPr>
          <w:rFonts w:eastAsia="Times New Roman"/>
          <w:lang w:val="ro-RO" w:eastAsia="ro-MD"/>
        </w:rPr>
        <w:t xml:space="preserve"> de a încărca prin intermediul acestuia </w:t>
      </w:r>
      <w:proofErr w:type="spellStart"/>
      <w:r w:rsidR="0068297B" w:rsidRPr="007503BF">
        <w:rPr>
          <w:rFonts w:eastAsia="Times New Roman"/>
          <w:lang w:val="ro-RO" w:eastAsia="ro-MD"/>
        </w:rPr>
        <w:t>fişiere</w:t>
      </w:r>
      <w:proofErr w:type="spellEnd"/>
      <w:r w:rsidR="0068297B" w:rsidRPr="007503BF">
        <w:rPr>
          <w:rFonts w:eastAsia="Times New Roman"/>
          <w:lang w:val="ro-RO" w:eastAsia="ro-MD"/>
        </w:rPr>
        <w:t xml:space="preserve"> de raportare destinate doar </w:t>
      </w:r>
      <w:proofErr w:type="spellStart"/>
      <w:r w:rsidR="0068297B" w:rsidRPr="007503BF">
        <w:rPr>
          <w:rFonts w:eastAsia="Times New Roman"/>
          <w:lang w:val="ro-RO" w:eastAsia="ro-MD"/>
        </w:rPr>
        <w:t>entităţii</w:t>
      </w:r>
      <w:proofErr w:type="spellEnd"/>
      <w:r w:rsidR="0068297B" w:rsidRPr="007503BF">
        <w:rPr>
          <w:rFonts w:eastAsia="Times New Roman"/>
          <w:lang w:val="ro-RO" w:eastAsia="ro-MD"/>
        </w:rPr>
        <w:t xml:space="preserve"> raportoare respective. </w:t>
      </w:r>
    </w:p>
    <w:p w14:paraId="182D9D67" w14:textId="41D45316" w:rsidR="00451AEE" w:rsidRPr="007503BF" w:rsidRDefault="00451AEE" w:rsidP="00451AEE">
      <w:pPr>
        <w:ind w:firstLine="567"/>
        <w:jc w:val="both"/>
        <w:rPr>
          <w:rFonts w:eastAsia="Times New Roman"/>
          <w:lang w:val="ro-RO" w:eastAsia="ro-MD"/>
        </w:rPr>
      </w:pPr>
      <w:bookmarkStart w:id="22" w:name="_Hlk152600336"/>
      <w:r w:rsidRPr="007503BF">
        <w:rPr>
          <w:rFonts w:eastAsia="Times New Roman"/>
          <w:lang w:val="ro-RO" w:eastAsia="ro-MD"/>
        </w:rPr>
        <w:t>6. Rubrica „Data” va conține data completării cererii de înregistrare a persoanei autorizate în calitate de utilizator al SIRBNM.</w:t>
      </w:r>
    </w:p>
    <w:p w14:paraId="388727B6" w14:textId="5D14E7D9" w:rsidR="00451AEE" w:rsidRPr="007503BF" w:rsidRDefault="00451AEE" w:rsidP="00D1175C">
      <w:pPr>
        <w:ind w:firstLine="567"/>
        <w:jc w:val="both"/>
        <w:rPr>
          <w:rFonts w:eastAsia="Times New Roman"/>
          <w:lang w:val="ro-RO" w:eastAsia="ro-MD"/>
        </w:rPr>
      </w:pPr>
      <w:r w:rsidRPr="007503BF">
        <w:rPr>
          <w:rFonts w:eastAsia="Times New Roman"/>
          <w:lang w:val="ro-RO" w:eastAsia="ro-MD"/>
        </w:rPr>
        <w:t>7. Rubrica „Semnătura conducătorului entității raportoare” va conține semnătura olografă sau semnătura electronică a conducătorului entității raportoare.</w:t>
      </w:r>
      <w:bookmarkEnd w:id="22"/>
      <w:r w:rsidR="009A511C" w:rsidRPr="007503BF">
        <w:rPr>
          <w:rFonts w:eastAsia="Times New Roman"/>
          <w:lang w:val="ro-RO" w:eastAsia="ro-MD"/>
        </w:rPr>
        <w:t>”</w:t>
      </w:r>
    </w:p>
    <w:p w14:paraId="3B22828A" w14:textId="18615FF3" w:rsidR="005E5410" w:rsidRPr="004B60DF" w:rsidRDefault="00D92B80" w:rsidP="004B60DF">
      <w:pPr>
        <w:pStyle w:val="ListParagraph"/>
        <w:numPr>
          <w:ilvl w:val="2"/>
          <w:numId w:val="41"/>
        </w:numPr>
        <w:spacing w:before="120"/>
        <w:ind w:left="0" w:firstLine="568"/>
        <w:rPr>
          <w:lang w:val="ro-RO" w:eastAsia="ro-MD"/>
        </w:rPr>
      </w:pPr>
      <w:r>
        <w:rPr>
          <w:lang w:val="ro-RO" w:eastAsia="ro-MD"/>
        </w:rPr>
        <w:t>î</w:t>
      </w:r>
      <w:r w:rsidR="006D27DE" w:rsidRPr="004B60DF">
        <w:rPr>
          <w:lang w:val="ro-RO" w:eastAsia="ro-MD"/>
        </w:rPr>
        <w:t>n anexa nr.</w:t>
      </w:r>
      <w:r w:rsidR="00262265" w:rsidRPr="004B60DF">
        <w:rPr>
          <w:lang w:val="ro-RO" w:eastAsia="ro-MD"/>
        </w:rPr>
        <w:t>3</w:t>
      </w:r>
      <w:r w:rsidR="006D27DE" w:rsidRPr="004B60DF">
        <w:rPr>
          <w:lang w:val="ro-RO" w:eastAsia="ro-MD"/>
        </w:rPr>
        <w:t>,</w:t>
      </w:r>
      <w:r w:rsidR="006C1B7C" w:rsidRPr="004B60DF">
        <w:rPr>
          <w:lang w:val="ro-RO" w:eastAsia="ro-MD"/>
        </w:rPr>
        <w:t xml:space="preserve"> </w:t>
      </w:r>
      <w:r w:rsidR="007C596E" w:rsidRPr="004B60DF">
        <w:rPr>
          <w:lang w:val="ro-RO" w:eastAsia="ro-MD"/>
        </w:rPr>
        <w:t xml:space="preserve">la </w:t>
      </w:r>
      <w:r w:rsidR="00886F4F" w:rsidRPr="004B60DF">
        <w:rPr>
          <w:lang w:val="ro-RO" w:eastAsia="ro-MD"/>
        </w:rPr>
        <w:t>compartimentul</w:t>
      </w:r>
      <w:r w:rsidR="006C1B7C" w:rsidRPr="004B60DF">
        <w:rPr>
          <w:lang w:val="ro-RO" w:eastAsia="ro-MD"/>
        </w:rPr>
        <w:t xml:space="preserve"> „</w:t>
      </w:r>
      <w:r w:rsidR="007C596E" w:rsidRPr="004B60DF">
        <w:rPr>
          <w:lang w:val="ro-RO" w:eastAsia="ro-MD"/>
        </w:rPr>
        <w:t>Acțiunea solicitată</w:t>
      </w:r>
      <w:r w:rsidR="006C1B7C" w:rsidRPr="004B60DF">
        <w:rPr>
          <w:lang w:val="ro-RO" w:eastAsia="ro-MD"/>
        </w:rPr>
        <w:t xml:space="preserve">”, din rând nou, se completează </w:t>
      </w:r>
      <w:r w:rsidR="00997242" w:rsidRPr="004B60DF">
        <w:rPr>
          <w:lang w:val="ro-RO" w:eastAsia="ro-MD"/>
        </w:rPr>
        <w:t>cu textul</w:t>
      </w:r>
      <w:r w:rsidR="005E5410" w:rsidRPr="004B60DF">
        <w:rPr>
          <w:lang w:val="ro-RO" w:eastAsia="ro-MD"/>
        </w:rPr>
        <w:t>:</w:t>
      </w:r>
    </w:p>
    <w:p w14:paraId="3F308AE7" w14:textId="626E438E" w:rsidR="00997242" w:rsidRPr="007503BF" w:rsidRDefault="00997242" w:rsidP="005E5410">
      <w:pPr>
        <w:pStyle w:val="ListParagraph"/>
        <w:spacing w:before="120"/>
        <w:ind w:left="567"/>
        <w:rPr>
          <w:lang w:val="ro-RO" w:eastAsia="ro-MD"/>
        </w:rPr>
      </w:pPr>
      <w:r w:rsidRPr="007503BF">
        <w:rPr>
          <w:lang w:val="ro-RO" w:eastAsia="ro-MD"/>
        </w:rPr>
        <w:t xml:space="preserve"> „</w:t>
      </w:r>
      <w:r w:rsidR="007C596E" w:rsidRPr="007503BF">
        <w:rPr>
          <w:lang w:val="ro-RO" w:eastAsia="ro-MD"/>
        </w:rPr>
        <w:t xml:space="preserve">Încetarea suspendării </w:t>
      </w:r>
      <w:r w:rsidR="00B84DF3" w:rsidRPr="005A38E8">
        <w:rPr>
          <w:lang w:val="ro-RO" w:eastAsia="ro-MD"/>
        </w:rPr>
        <w:t xml:space="preserve">  </w:t>
      </w:r>
      <w:r w:rsidR="007C596E" w:rsidRPr="007503BF">
        <w:rPr>
          <w:rFonts w:ascii="Segoe UI Symbol" w:hAnsi="Segoe UI Symbol" w:cs="Segoe UI Symbol"/>
          <w:lang w:val="ro-RO" w:eastAsia="ro-MD"/>
        </w:rPr>
        <w:t>☐</w:t>
      </w:r>
      <w:r w:rsidRPr="007503BF">
        <w:rPr>
          <w:lang w:val="ro-RO" w:eastAsia="ro-MD"/>
        </w:rPr>
        <w:t>”;</w:t>
      </w:r>
    </w:p>
    <w:p w14:paraId="12EC417D" w14:textId="6AAAB3A2" w:rsidR="003C6374" w:rsidRPr="004B60DF" w:rsidRDefault="00D92B80" w:rsidP="004B60DF">
      <w:pPr>
        <w:pStyle w:val="ListParagraph"/>
        <w:numPr>
          <w:ilvl w:val="2"/>
          <w:numId w:val="41"/>
        </w:numPr>
        <w:spacing w:before="120"/>
        <w:jc w:val="both"/>
        <w:rPr>
          <w:lang w:val="ro-RO" w:eastAsia="ro-MD"/>
        </w:rPr>
      </w:pPr>
      <w:r w:rsidRPr="004B60DF">
        <w:rPr>
          <w:lang w:val="ro-RO" w:eastAsia="ro-MD"/>
        </w:rPr>
        <w:t>î</w:t>
      </w:r>
      <w:r w:rsidR="00262265" w:rsidRPr="004B60DF">
        <w:rPr>
          <w:lang w:val="ro-RO" w:eastAsia="ro-MD"/>
        </w:rPr>
        <w:t>n anexa nr.4</w:t>
      </w:r>
      <w:r w:rsidR="003C6374" w:rsidRPr="004B60DF">
        <w:rPr>
          <w:lang w:val="ro-RO" w:eastAsia="ro-MD"/>
        </w:rPr>
        <w:t>:</w:t>
      </w:r>
    </w:p>
    <w:p w14:paraId="2F0DF190" w14:textId="4A03BFA5" w:rsidR="006934DC" w:rsidRPr="007503BF" w:rsidRDefault="00D92B80" w:rsidP="004B60DF">
      <w:pPr>
        <w:pStyle w:val="ListParagraph"/>
        <w:numPr>
          <w:ilvl w:val="3"/>
          <w:numId w:val="41"/>
        </w:numPr>
        <w:ind w:hanging="153"/>
        <w:jc w:val="both"/>
        <w:rPr>
          <w:lang w:val="ro-RO" w:eastAsia="ro-MD"/>
        </w:rPr>
      </w:pPr>
      <w:r>
        <w:rPr>
          <w:lang w:val="ro-RO" w:eastAsia="ro-MD"/>
        </w:rPr>
        <w:t xml:space="preserve"> </w:t>
      </w:r>
      <w:r w:rsidR="00E45289" w:rsidRPr="007503BF">
        <w:rPr>
          <w:lang w:val="ro-RO" w:eastAsia="ro-MD"/>
        </w:rPr>
        <w:t xml:space="preserve">cuvântul </w:t>
      </w:r>
      <w:r w:rsidR="006934DC" w:rsidRPr="007503BF">
        <w:rPr>
          <w:lang w:val="ro-RO" w:eastAsia="ro-MD"/>
        </w:rPr>
        <w:t xml:space="preserve">„confirmăm” se substituie cu </w:t>
      </w:r>
      <w:r w:rsidR="00E45289" w:rsidRPr="007503BF">
        <w:rPr>
          <w:lang w:val="ro-RO" w:eastAsia="ro-MD"/>
        </w:rPr>
        <w:t xml:space="preserve">cuvântul </w:t>
      </w:r>
      <w:r w:rsidR="006934DC" w:rsidRPr="007503BF">
        <w:rPr>
          <w:lang w:val="ro-RO" w:eastAsia="ro-MD"/>
        </w:rPr>
        <w:t>„solicităm”;</w:t>
      </w:r>
    </w:p>
    <w:p w14:paraId="2A9B0997" w14:textId="4CD4B6EA" w:rsidR="00146DF9" w:rsidRPr="007503BF" w:rsidRDefault="00D92B80" w:rsidP="004B60DF">
      <w:pPr>
        <w:pStyle w:val="ListParagraph"/>
        <w:numPr>
          <w:ilvl w:val="3"/>
          <w:numId w:val="41"/>
        </w:numPr>
        <w:ind w:left="0" w:firstLine="567"/>
        <w:jc w:val="both"/>
        <w:rPr>
          <w:lang w:val="ro-RO" w:eastAsia="ro-MD"/>
        </w:rPr>
      </w:pPr>
      <w:r>
        <w:rPr>
          <w:lang w:val="ro-RO" w:eastAsia="ro-MD"/>
        </w:rPr>
        <w:t xml:space="preserve"> </w:t>
      </w:r>
      <w:r w:rsidR="00146DF9" w:rsidRPr="007503BF">
        <w:rPr>
          <w:lang w:val="ro-RO" w:eastAsia="ro-MD"/>
        </w:rPr>
        <w:t xml:space="preserve">în tabel, </w:t>
      </w:r>
      <w:r w:rsidR="00386AFB" w:rsidRPr="007503BF">
        <w:rPr>
          <w:lang w:val="ro-RO" w:eastAsia="ro-MD"/>
        </w:rPr>
        <w:t>denumirile coloanelor „Cod instanță” și „Denumire instanță/raport” se completează cu textul „(conform anexei nr.1)”;</w:t>
      </w:r>
    </w:p>
    <w:p w14:paraId="56BCB6D6" w14:textId="7B541DA6" w:rsidR="00146DF9" w:rsidRPr="007503BF" w:rsidRDefault="00D92B80" w:rsidP="004B60DF">
      <w:pPr>
        <w:pStyle w:val="ListParagraph"/>
        <w:numPr>
          <w:ilvl w:val="3"/>
          <w:numId w:val="41"/>
        </w:numPr>
        <w:ind w:hanging="153"/>
        <w:jc w:val="both"/>
        <w:rPr>
          <w:lang w:val="ro-RO" w:eastAsia="ro-MD"/>
        </w:rPr>
      </w:pPr>
      <w:r>
        <w:rPr>
          <w:lang w:val="ro-RO" w:eastAsia="ro-MD"/>
        </w:rPr>
        <w:t xml:space="preserve"> </w:t>
      </w:r>
      <w:r w:rsidR="00146DF9" w:rsidRPr="007503BF">
        <w:rPr>
          <w:lang w:val="ro-RO" w:eastAsia="ro-MD"/>
        </w:rPr>
        <w:t>acronimul „ER” se substituie cu cuvintele „entitatea raportoare”</w:t>
      </w:r>
      <w:r w:rsidR="00D1175C" w:rsidRPr="007503BF">
        <w:rPr>
          <w:lang w:val="ro-RO" w:eastAsia="ro-MD"/>
        </w:rPr>
        <w:t>.</w:t>
      </w:r>
    </w:p>
    <w:p w14:paraId="1C0A0789" w14:textId="77777777" w:rsidR="0044354A" w:rsidRPr="007503BF" w:rsidRDefault="0044354A" w:rsidP="004B60DF">
      <w:pPr>
        <w:ind w:hanging="153"/>
        <w:jc w:val="both"/>
        <w:rPr>
          <w:rFonts w:eastAsia="Times New Roman"/>
          <w:lang w:val="ro-RO" w:eastAsia="ro-MD"/>
        </w:rPr>
      </w:pPr>
    </w:p>
    <w:p w14:paraId="56B6ECDF" w14:textId="31BA3D32" w:rsidR="00D1175C" w:rsidRPr="007503BF" w:rsidRDefault="0070188D" w:rsidP="00D1175C">
      <w:pPr>
        <w:pStyle w:val="ListParagraph"/>
        <w:numPr>
          <w:ilvl w:val="0"/>
          <w:numId w:val="25"/>
        </w:numPr>
        <w:spacing w:after="160" w:line="259" w:lineRule="auto"/>
        <w:ind w:left="0" w:firstLine="567"/>
        <w:jc w:val="both"/>
        <w:rPr>
          <w:b/>
          <w:bCs/>
          <w:lang w:val="ro-RO"/>
        </w:rPr>
      </w:pPr>
      <w:r w:rsidRPr="007503BF">
        <w:rPr>
          <w:b/>
          <w:bCs/>
          <w:lang w:val="ro-RO"/>
        </w:rPr>
        <w:t>Hotărârea Comisiei Naționale a Pieței Financiare nr.45/5/2009 cu privire la aprobarea f</w:t>
      </w:r>
      <w:r w:rsidR="00D1175C" w:rsidRPr="007503BF">
        <w:rPr>
          <w:b/>
          <w:bCs/>
          <w:lang w:val="ro-RO"/>
        </w:rPr>
        <w:t>orm</w:t>
      </w:r>
      <w:r w:rsidRPr="007503BF">
        <w:rPr>
          <w:b/>
          <w:bCs/>
          <w:lang w:val="ro-RO"/>
        </w:rPr>
        <w:t>ei</w:t>
      </w:r>
      <w:r w:rsidR="00D1175C" w:rsidRPr="007503BF">
        <w:rPr>
          <w:b/>
          <w:bCs/>
          <w:lang w:val="ro-RO"/>
        </w:rPr>
        <w:t xml:space="preserve"> și conținutul</w:t>
      </w:r>
      <w:r w:rsidRPr="007503BF">
        <w:rPr>
          <w:b/>
          <w:bCs/>
          <w:lang w:val="ro-RO"/>
        </w:rPr>
        <w:t>ui</w:t>
      </w:r>
      <w:r w:rsidR="00D1175C" w:rsidRPr="007503BF">
        <w:rPr>
          <w:b/>
          <w:bCs/>
          <w:lang w:val="ro-RO"/>
        </w:rPr>
        <w:t xml:space="preserve"> rapoartelor specializate ale intermediarilor în asigurări și/sau reasigurări (Monitorul Oficial al R. Moldova, 2009, nr. 197-200, art. 877) se modifică după cum urmează:</w:t>
      </w:r>
    </w:p>
    <w:p w14:paraId="42AA0918" w14:textId="50CA7DDB" w:rsidR="00D1175C" w:rsidRPr="007503BF" w:rsidRDefault="007E3A6F" w:rsidP="004B60DF">
      <w:pPr>
        <w:pStyle w:val="ListParagraph"/>
        <w:numPr>
          <w:ilvl w:val="1"/>
          <w:numId w:val="25"/>
        </w:numPr>
        <w:spacing w:after="160" w:line="259" w:lineRule="auto"/>
        <w:contextualSpacing/>
        <w:jc w:val="both"/>
        <w:rPr>
          <w:lang w:val="ro-RO"/>
        </w:rPr>
      </w:pPr>
      <w:r>
        <w:rPr>
          <w:lang w:val="ro-RO"/>
        </w:rPr>
        <w:t xml:space="preserve"> s</w:t>
      </w:r>
      <w:r w:rsidR="00D1175C" w:rsidRPr="007503BF">
        <w:rPr>
          <w:lang w:val="ro-RO"/>
        </w:rPr>
        <w:t>e completează cu pct. 5</w:t>
      </w:r>
      <w:r w:rsidR="008C1D97" w:rsidRPr="007503BF">
        <w:rPr>
          <w:lang w:val="ro-RO"/>
        </w:rPr>
        <w:t>-8</w:t>
      </w:r>
      <w:r w:rsidR="00D1175C" w:rsidRPr="007503BF">
        <w:rPr>
          <w:lang w:val="ro-RO"/>
        </w:rPr>
        <w:t>:</w:t>
      </w:r>
    </w:p>
    <w:p w14:paraId="102BAEA5" w14:textId="034B1A79" w:rsidR="00D1175C" w:rsidRPr="007503BF" w:rsidRDefault="00D1175C" w:rsidP="00D1175C">
      <w:pPr>
        <w:pStyle w:val="ListParagraph"/>
        <w:ind w:left="0" w:firstLine="567"/>
        <w:jc w:val="both"/>
        <w:rPr>
          <w:lang w:val="ro-RO"/>
        </w:rPr>
      </w:pPr>
      <w:r w:rsidRPr="007503BF">
        <w:rPr>
          <w:lang w:val="ro-RO"/>
        </w:rPr>
        <w:t>„5. Registrul specificat la pct.1 se prezintă la Banca Națională a Moldovei anual, până la data de 25 februarie a anului următor celui de gestiune.</w:t>
      </w:r>
    </w:p>
    <w:p w14:paraId="4AA20629" w14:textId="7438601A" w:rsidR="00D1175C" w:rsidRPr="007503BF" w:rsidRDefault="00D1175C" w:rsidP="00D1175C">
      <w:pPr>
        <w:pStyle w:val="ListParagraph"/>
        <w:ind w:left="0" w:firstLine="567"/>
        <w:jc w:val="both"/>
        <w:rPr>
          <w:lang w:val="ro-RO"/>
        </w:rPr>
      </w:pPr>
      <w:r w:rsidRPr="007503BF">
        <w:rPr>
          <w:lang w:val="ro-RO"/>
        </w:rPr>
        <w:t>6. Rapoartele specificate la pct. 2 – 4 se întocmesc cumulativ și se prezintă la Banca Națională a Moldovei trimestrial, până la data de 25 a lunii următoare trimestrului de gestiune.</w:t>
      </w:r>
    </w:p>
    <w:p w14:paraId="77815646" w14:textId="1983130B" w:rsidR="00D1175C" w:rsidRPr="007503BF" w:rsidRDefault="00D1175C" w:rsidP="00D1175C">
      <w:pPr>
        <w:pStyle w:val="ListParagraph"/>
        <w:ind w:left="0" w:firstLine="567"/>
        <w:jc w:val="both"/>
        <w:rPr>
          <w:lang w:val="ro-RO"/>
        </w:rPr>
      </w:pPr>
      <w:r w:rsidRPr="007503BF">
        <w:rPr>
          <w:lang w:val="ro-RO"/>
        </w:rPr>
        <w:t xml:space="preserve">7. </w:t>
      </w:r>
      <w:r w:rsidR="008C1D97" w:rsidRPr="007503BF">
        <w:rPr>
          <w:lang w:val="ro-RO"/>
        </w:rPr>
        <w:t>Registrul și r</w:t>
      </w:r>
      <w:r w:rsidRPr="007503BF">
        <w:rPr>
          <w:lang w:val="ro-RO"/>
        </w:rPr>
        <w:t>apoartele se prezintă în formă electronică, conform Instrucțiunii privind modul de prezentare a rapoartelor în formă electronică la Banca Națională a Moldovei, aprobate prin Hotărârea Comitetului executiv al Băncii Naționale a Moldovei nr.245/2019.</w:t>
      </w:r>
    </w:p>
    <w:p w14:paraId="7BC5320B" w14:textId="4210AD80" w:rsidR="008C1D97" w:rsidRPr="007503BF" w:rsidRDefault="008C1D97" w:rsidP="00F8255C">
      <w:pPr>
        <w:pStyle w:val="ListParagraph"/>
        <w:spacing w:after="120"/>
        <w:ind w:left="0" w:firstLine="562"/>
        <w:jc w:val="both"/>
        <w:rPr>
          <w:lang w:val="ro-RO"/>
        </w:rPr>
      </w:pPr>
      <w:r w:rsidRPr="007503BF">
        <w:rPr>
          <w:lang w:val="ro-RO"/>
        </w:rPr>
        <w:lastRenderedPageBreak/>
        <w:t xml:space="preserve">8. Intermediarii în asigurări </w:t>
      </w:r>
      <w:proofErr w:type="spellStart"/>
      <w:r w:rsidRPr="007503BF">
        <w:rPr>
          <w:lang w:val="ro-RO"/>
        </w:rPr>
        <w:t>şi</w:t>
      </w:r>
      <w:proofErr w:type="spellEnd"/>
      <w:r w:rsidRPr="007503BF">
        <w:rPr>
          <w:lang w:val="ro-RO"/>
        </w:rPr>
        <w:t xml:space="preserve">/sau reasigurări care </w:t>
      </w:r>
      <w:proofErr w:type="spellStart"/>
      <w:r w:rsidRPr="007503BF">
        <w:rPr>
          <w:lang w:val="ro-RO"/>
        </w:rPr>
        <w:t>şi</w:t>
      </w:r>
      <w:proofErr w:type="spellEnd"/>
      <w:r w:rsidRPr="007503BF">
        <w:rPr>
          <w:lang w:val="ro-RO"/>
        </w:rPr>
        <w:t xml:space="preserve">-au încetat activitatea de intermediere prezintă </w:t>
      </w:r>
      <w:r w:rsidR="00EB099A" w:rsidRPr="007503BF">
        <w:rPr>
          <w:lang w:val="ro-RO"/>
        </w:rPr>
        <w:t>rapoartele</w:t>
      </w:r>
      <w:r w:rsidRPr="007503BF">
        <w:rPr>
          <w:lang w:val="ro-RO"/>
        </w:rPr>
        <w:t xml:space="preserve"> pentru perioada de raportare aferentă momentului retragerii </w:t>
      </w:r>
      <w:proofErr w:type="spellStart"/>
      <w:r w:rsidRPr="007503BF">
        <w:rPr>
          <w:lang w:val="ro-RO"/>
        </w:rPr>
        <w:t>licenţei</w:t>
      </w:r>
      <w:proofErr w:type="spellEnd"/>
      <w:r w:rsidRPr="007503BF">
        <w:rPr>
          <w:lang w:val="ro-RO"/>
        </w:rPr>
        <w:t xml:space="preserve"> de către </w:t>
      </w:r>
      <w:r w:rsidR="00EB099A" w:rsidRPr="007503BF">
        <w:rPr>
          <w:lang w:val="ro-RO"/>
        </w:rPr>
        <w:t>Banca Națională a Moldovei</w:t>
      </w:r>
      <w:r w:rsidRPr="007503BF">
        <w:rPr>
          <w:lang w:val="ro-RO"/>
        </w:rPr>
        <w:t>.</w:t>
      </w:r>
      <w:r w:rsidR="007F76F7" w:rsidRPr="007503BF">
        <w:rPr>
          <w:lang w:val="ro-RO"/>
        </w:rPr>
        <w:t>”;</w:t>
      </w:r>
    </w:p>
    <w:p w14:paraId="37D7A24F" w14:textId="31CBC918" w:rsidR="00D1175C" w:rsidRPr="007E3A6F" w:rsidRDefault="007E3A6F" w:rsidP="004B60DF">
      <w:pPr>
        <w:spacing w:before="120" w:after="160" w:line="259" w:lineRule="auto"/>
        <w:ind w:firstLine="567"/>
        <w:contextualSpacing/>
        <w:jc w:val="both"/>
        <w:rPr>
          <w:lang w:val="ro-RO"/>
        </w:rPr>
      </w:pPr>
      <w:r>
        <w:rPr>
          <w:lang w:val="ro-RO"/>
        </w:rPr>
        <w:t>2.2 î</w:t>
      </w:r>
      <w:r w:rsidR="00D1175C" w:rsidRPr="007E3A6F">
        <w:rPr>
          <w:lang w:val="ro-RO"/>
        </w:rPr>
        <w:t>n anexa nr.1:</w:t>
      </w:r>
    </w:p>
    <w:p w14:paraId="667A734F" w14:textId="6542310D" w:rsidR="00D1175C" w:rsidRPr="007503BF" w:rsidRDefault="007E3A6F" w:rsidP="00D1175C">
      <w:pPr>
        <w:pStyle w:val="ListParagraph"/>
        <w:ind w:left="0" w:firstLine="567"/>
        <w:jc w:val="both"/>
        <w:rPr>
          <w:lang w:val="ro-RO"/>
        </w:rPr>
      </w:pPr>
      <w:r>
        <w:rPr>
          <w:lang w:val="ro-RO"/>
        </w:rPr>
        <w:t>2.2.1</w:t>
      </w:r>
      <w:r w:rsidR="00D1175C" w:rsidRPr="007503BF">
        <w:rPr>
          <w:lang w:val="ro-RO"/>
        </w:rPr>
        <w:t xml:space="preserve"> textul „Administrator  ____________  Contabil - șef ___________ ” se substituie cu textul „Executor: Numele, prenumele____________________ Datele de contact ________________”;</w:t>
      </w:r>
    </w:p>
    <w:p w14:paraId="02A689E6" w14:textId="21FCB4C0" w:rsidR="00D1175C" w:rsidRPr="007503BF" w:rsidRDefault="00D1175C" w:rsidP="004B60DF">
      <w:pPr>
        <w:pStyle w:val="ListParagraph"/>
        <w:numPr>
          <w:ilvl w:val="2"/>
          <w:numId w:val="42"/>
        </w:numPr>
        <w:spacing w:after="120"/>
        <w:jc w:val="both"/>
        <w:rPr>
          <w:lang w:val="ro-RO"/>
        </w:rPr>
      </w:pPr>
      <w:r w:rsidRPr="007503BF">
        <w:rPr>
          <w:lang w:val="ro-RO"/>
        </w:rPr>
        <w:t xml:space="preserve"> se abrogă secțiunea „Prezentarea Registrului”</w:t>
      </w:r>
      <w:r w:rsidR="00602515">
        <w:rPr>
          <w:lang w:val="ro-RO"/>
        </w:rPr>
        <w:t>;</w:t>
      </w:r>
    </w:p>
    <w:p w14:paraId="4A04FB1F" w14:textId="328B70A4" w:rsidR="00D1175C" w:rsidRPr="007E3A6F" w:rsidRDefault="007E3A6F" w:rsidP="004B60DF">
      <w:pPr>
        <w:spacing w:after="160" w:line="259" w:lineRule="auto"/>
        <w:ind w:firstLine="567"/>
        <w:contextualSpacing/>
        <w:jc w:val="both"/>
        <w:rPr>
          <w:lang w:val="ro-RO"/>
        </w:rPr>
      </w:pPr>
      <w:r>
        <w:rPr>
          <w:lang w:val="ro-RO"/>
        </w:rPr>
        <w:t>2.3 î</w:t>
      </w:r>
      <w:r w:rsidR="00D1175C" w:rsidRPr="007E3A6F">
        <w:rPr>
          <w:lang w:val="ro-RO"/>
        </w:rPr>
        <w:t>n anex</w:t>
      </w:r>
      <w:r>
        <w:rPr>
          <w:lang w:val="ro-RO"/>
        </w:rPr>
        <w:t>ele</w:t>
      </w:r>
      <w:r w:rsidR="00D1175C" w:rsidRPr="007E3A6F">
        <w:rPr>
          <w:lang w:val="ro-RO"/>
        </w:rPr>
        <w:t xml:space="preserve"> nr.2 – nr.4:</w:t>
      </w:r>
    </w:p>
    <w:p w14:paraId="3C22A171" w14:textId="3678EA45" w:rsidR="00D1175C" w:rsidRPr="007503BF" w:rsidRDefault="007E3FE7" w:rsidP="00D1175C">
      <w:pPr>
        <w:pStyle w:val="ListParagraph"/>
        <w:ind w:left="0" w:firstLine="567"/>
        <w:jc w:val="both"/>
        <w:rPr>
          <w:lang w:val="ro-RO"/>
        </w:rPr>
      </w:pPr>
      <w:r>
        <w:rPr>
          <w:lang w:val="ro-RO"/>
        </w:rPr>
        <w:t>2.3.1</w:t>
      </w:r>
      <w:r w:rsidR="00D1175C" w:rsidRPr="007503BF">
        <w:rPr>
          <w:lang w:val="ro-RO"/>
        </w:rPr>
        <w:t xml:space="preserve"> textul „Administrator  ____________  Contabil - șef ___________ ” se substituie cu textul „Executor: Numele, prenumele____________________ Datele de contact ________________”;</w:t>
      </w:r>
    </w:p>
    <w:p w14:paraId="179839FB" w14:textId="57C02292" w:rsidR="00D1175C" w:rsidRDefault="007E3FE7" w:rsidP="00D1175C">
      <w:pPr>
        <w:pStyle w:val="ListParagraph"/>
        <w:ind w:left="0" w:firstLine="567"/>
        <w:jc w:val="both"/>
        <w:rPr>
          <w:lang w:val="ro-RO"/>
        </w:rPr>
      </w:pPr>
      <w:r>
        <w:rPr>
          <w:lang w:val="ro-RO"/>
        </w:rPr>
        <w:t>2.3.2</w:t>
      </w:r>
      <w:r w:rsidR="00D1175C" w:rsidRPr="007503BF">
        <w:rPr>
          <w:lang w:val="ro-RO"/>
        </w:rPr>
        <w:t xml:space="preserve"> se abrogă secțiunea „Prezentarea raportului”</w:t>
      </w:r>
      <w:r w:rsidR="00853978">
        <w:rPr>
          <w:lang w:val="ro-RO"/>
        </w:rPr>
        <w:t>;</w:t>
      </w:r>
    </w:p>
    <w:p w14:paraId="5CBF741A" w14:textId="00FB1C26" w:rsidR="00853978" w:rsidRPr="007503BF" w:rsidRDefault="007E3FE7" w:rsidP="00D1175C">
      <w:pPr>
        <w:pStyle w:val="ListParagraph"/>
        <w:ind w:left="0" w:firstLine="567"/>
        <w:jc w:val="both"/>
        <w:rPr>
          <w:lang w:val="ro-RO"/>
        </w:rPr>
      </w:pPr>
      <w:r>
        <w:rPr>
          <w:lang w:val="ro-RO"/>
        </w:rPr>
        <w:t xml:space="preserve">2.3.3 </w:t>
      </w:r>
      <w:r w:rsidR="00853978">
        <w:rPr>
          <w:lang w:val="ro-RO"/>
        </w:rPr>
        <w:t xml:space="preserve">în formularul raportului „privind activitatea de bază a intermediarului în asigurări și/sau reasigurări”, la </w:t>
      </w:r>
      <w:proofErr w:type="spellStart"/>
      <w:r w:rsidR="00853978">
        <w:rPr>
          <w:lang w:val="ro-RO"/>
        </w:rPr>
        <w:t>rd</w:t>
      </w:r>
      <w:proofErr w:type="spellEnd"/>
      <w:r w:rsidR="00853978">
        <w:rPr>
          <w:lang w:val="ro-RO"/>
        </w:rPr>
        <w:t xml:space="preserve"> 0306 se exclude textul „ </w:t>
      </w:r>
      <w:r w:rsidR="00853978" w:rsidRPr="00853978">
        <w:rPr>
          <w:lang w:val="ro-RO"/>
        </w:rPr>
        <w:t xml:space="preserve">, prevăzute la </w:t>
      </w:r>
      <w:proofErr w:type="spellStart"/>
      <w:r w:rsidR="00853978" w:rsidRPr="00853978">
        <w:rPr>
          <w:lang w:val="ro-RO"/>
        </w:rPr>
        <w:t>lit.a</w:t>
      </w:r>
      <w:proofErr w:type="spellEnd"/>
      <w:r w:rsidR="00853978" w:rsidRPr="00853978">
        <w:rPr>
          <w:lang w:val="ro-RO"/>
        </w:rPr>
        <w:t xml:space="preserve">) </w:t>
      </w:r>
      <w:proofErr w:type="spellStart"/>
      <w:r w:rsidR="00853978" w:rsidRPr="00853978">
        <w:rPr>
          <w:lang w:val="ro-RO"/>
        </w:rPr>
        <w:t>şi</w:t>
      </w:r>
      <w:proofErr w:type="spellEnd"/>
      <w:r w:rsidR="00853978" w:rsidRPr="00853978">
        <w:rPr>
          <w:lang w:val="ro-RO"/>
        </w:rPr>
        <w:t xml:space="preserve"> </w:t>
      </w:r>
      <w:proofErr w:type="spellStart"/>
      <w:r w:rsidR="00853978" w:rsidRPr="00853978">
        <w:rPr>
          <w:lang w:val="ro-RO"/>
        </w:rPr>
        <w:t>lit.b</w:t>
      </w:r>
      <w:proofErr w:type="spellEnd"/>
      <w:r w:rsidR="00853978" w:rsidRPr="00853978">
        <w:rPr>
          <w:lang w:val="ro-RO"/>
        </w:rPr>
        <w:t>) din anexa nr.1 la Legea nr.407/2006</w:t>
      </w:r>
      <w:r w:rsidR="00853978">
        <w:rPr>
          <w:lang w:val="ro-RO"/>
        </w:rPr>
        <w:t>”.</w:t>
      </w:r>
    </w:p>
    <w:p w14:paraId="7356514D" w14:textId="0B650079" w:rsidR="0040029A" w:rsidRPr="007503BF" w:rsidRDefault="0040029A" w:rsidP="00F8255C">
      <w:pPr>
        <w:pStyle w:val="ListParagraph"/>
        <w:spacing w:after="160" w:line="259" w:lineRule="auto"/>
        <w:ind w:left="0" w:firstLine="540"/>
        <w:contextualSpacing/>
        <w:jc w:val="both"/>
        <w:rPr>
          <w:lang w:val="ro-RO"/>
        </w:rPr>
      </w:pPr>
    </w:p>
    <w:p w14:paraId="7A77D53B" w14:textId="3C73A0DE" w:rsidR="006542A7" w:rsidRPr="007503BF" w:rsidRDefault="00602515" w:rsidP="004B60DF">
      <w:pPr>
        <w:pStyle w:val="ListParagraph"/>
        <w:numPr>
          <w:ilvl w:val="0"/>
          <w:numId w:val="42"/>
        </w:numPr>
        <w:spacing w:before="240" w:after="120" w:line="259" w:lineRule="auto"/>
        <w:ind w:left="0"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. </w:t>
      </w:r>
      <w:r w:rsidR="006542A7" w:rsidRPr="007503BF">
        <w:rPr>
          <w:b/>
          <w:bCs/>
          <w:lang w:val="ro-RO"/>
        </w:rPr>
        <w:t>Hotărârea Comisiei Naționale a Pieței Financiare nr.57/14/2018 cu privire la aprobarea rapoartelor specializate ale asigurătorilor (</w:t>
      </w:r>
      <w:proofErr w:type="spellStart"/>
      <w:r w:rsidR="006542A7" w:rsidRPr="007503BF">
        <w:rPr>
          <w:b/>
          <w:bCs/>
          <w:lang w:val="ro-RO"/>
        </w:rPr>
        <w:t>reasigurătorilor</w:t>
      </w:r>
      <w:proofErr w:type="spellEnd"/>
      <w:r w:rsidR="006542A7" w:rsidRPr="007503BF">
        <w:rPr>
          <w:b/>
          <w:bCs/>
          <w:lang w:val="ro-RO"/>
        </w:rPr>
        <w:t>) aferente asigurărilor obligatorii de răspundere civilă auto internă și externă (Monitorul Oficial al R. Moldova, 2019, nr.30-37 art. 234) se modifică după cum urmează:</w:t>
      </w:r>
    </w:p>
    <w:p w14:paraId="623C2FDE" w14:textId="3AEF2DEE" w:rsidR="006542A7" w:rsidRPr="007503BF" w:rsidRDefault="00602515" w:rsidP="004B60DF">
      <w:pPr>
        <w:pStyle w:val="ListParagraph"/>
        <w:numPr>
          <w:ilvl w:val="1"/>
          <w:numId w:val="43"/>
        </w:numPr>
        <w:spacing w:line="259" w:lineRule="auto"/>
        <w:ind w:hanging="870"/>
        <w:contextualSpacing/>
        <w:jc w:val="both"/>
        <w:rPr>
          <w:lang w:val="ro-RO"/>
        </w:rPr>
      </w:pPr>
      <w:r>
        <w:rPr>
          <w:lang w:val="ro-RO"/>
        </w:rPr>
        <w:t xml:space="preserve"> s</w:t>
      </w:r>
      <w:r w:rsidR="006542A7" w:rsidRPr="007503BF">
        <w:rPr>
          <w:lang w:val="ro-RO"/>
        </w:rPr>
        <w:t>e completează cu pct. 3</w:t>
      </w:r>
      <w:r w:rsidR="006542A7" w:rsidRPr="007503BF">
        <w:rPr>
          <w:vertAlign w:val="superscript"/>
          <w:lang w:val="ro-RO"/>
        </w:rPr>
        <w:t>1</w:t>
      </w:r>
      <w:r w:rsidR="006542A7" w:rsidRPr="007503BF">
        <w:rPr>
          <w:lang w:val="ro-RO"/>
        </w:rPr>
        <w:t xml:space="preserve"> cu următorul conținut:</w:t>
      </w:r>
    </w:p>
    <w:p w14:paraId="3A05462B" w14:textId="6C6CBBF0" w:rsidR="006542A7" w:rsidRPr="007503BF" w:rsidRDefault="006542A7" w:rsidP="006542A7">
      <w:pPr>
        <w:jc w:val="both"/>
        <w:rPr>
          <w:lang w:val="ro-RO"/>
        </w:rPr>
      </w:pPr>
      <w:r w:rsidRPr="007503BF">
        <w:rPr>
          <w:lang w:val="ro-RO"/>
        </w:rPr>
        <w:t>”3</w:t>
      </w:r>
      <w:r w:rsidRPr="007503BF">
        <w:rPr>
          <w:vertAlign w:val="superscript"/>
          <w:lang w:val="ro-RO"/>
        </w:rPr>
        <w:t>1</w:t>
      </w:r>
      <w:r w:rsidRPr="007503BF">
        <w:rPr>
          <w:lang w:val="ro-RO"/>
        </w:rPr>
        <w:t xml:space="preserve">. Se aprobă forma </w:t>
      </w:r>
      <w:proofErr w:type="spellStart"/>
      <w:r w:rsidRPr="007503BF">
        <w:rPr>
          <w:lang w:val="ro-RO"/>
        </w:rPr>
        <w:t>şi</w:t>
      </w:r>
      <w:proofErr w:type="spellEnd"/>
      <w:r w:rsidRPr="007503BF">
        <w:rPr>
          <w:lang w:val="ro-RO"/>
        </w:rPr>
        <w:t xml:space="preserve"> conținutul Raportului privind rezultatul tehnic net determinat la asigurarea RCA </w:t>
      </w:r>
      <w:proofErr w:type="spellStart"/>
      <w:r w:rsidRPr="007503BF">
        <w:rPr>
          <w:lang w:val="ro-RO"/>
        </w:rPr>
        <w:t>şi</w:t>
      </w:r>
      <w:proofErr w:type="spellEnd"/>
      <w:r w:rsidRPr="007503BF">
        <w:rPr>
          <w:lang w:val="ro-RO"/>
        </w:rPr>
        <w:t xml:space="preserve"> Carte Verde, care se vor întocmi separat, conform anexei nr. 4.”</w:t>
      </w:r>
      <w:r w:rsidR="00620C30" w:rsidRPr="007503BF">
        <w:rPr>
          <w:lang w:val="ro-RO"/>
        </w:rPr>
        <w:t>;</w:t>
      </w:r>
    </w:p>
    <w:p w14:paraId="7761B663" w14:textId="04C1DB22" w:rsidR="006542A7" w:rsidRPr="004B60DF" w:rsidRDefault="006542A7" w:rsidP="004B60DF">
      <w:pPr>
        <w:pStyle w:val="ListParagraph"/>
        <w:numPr>
          <w:ilvl w:val="1"/>
          <w:numId w:val="43"/>
        </w:numPr>
        <w:spacing w:before="120" w:line="259" w:lineRule="auto"/>
        <w:ind w:left="1435" w:hanging="868"/>
        <w:jc w:val="both"/>
        <w:rPr>
          <w:lang w:val="ro-RO"/>
        </w:rPr>
      </w:pPr>
      <w:r w:rsidRPr="004B60DF">
        <w:rPr>
          <w:lang w:val="ro-RO"/>
        </w:rPr>
        <w:t xml:space="preserve"> </w:t>
      </w:r>
      <w:r w:rsidR="00602515">
        <w:rPr>
          <w:lang w:val="ro-RO"/>
        </w:rPr>
        <w:t>p</w:t>
      </w:r>
      <w:r w:rsidRPr="004B60DF">
        <w:rPr>
          <w:lang w:val="ro-RO"/>
        </w:rPr>
        <w:t>ct. 4 va avea următorul cuprins:</w:t>
      </w:r>
    </w:p>
    <w:p w14:paraId="7A9EDAD7" w14:textId="77777777" w:rsidR="006542A7" w:rsidRPr="005A38E8" w:rsidRDefault="006542A7" w:rsidP="004B60DF">
      <w:pPr>
        <w:pStyle w:val="ListParagraph"/>
        <w:ind w:left="0" w:firstLine="567"/>
        <w:jc w:val="both"/>
        <w:rPr>
          <w:lang w:val="ro-RO"/>
        </w:rPr>
      </w:pPr>
      <w:r w:rsidRPr="005A38E8">
        <w:rPr>
          <w:lang w:val="ro-RO"/>
        </w:rPr>
        <w:t>„</w:t>
      </w:r>
      <w:r w:rsidRPr="005A38E8">
        <w:rPr>
          <w:b/>
          <w:bCs/>
          <w:lang w:val="ro-RO"/>
        </w:rPr>
        <w:t>4.</w:t>
      </w:r>
      <w:r w:rsidRPr="005A38E8">
        <w:rPr>
          <w:lang w:val="ro-RO"/>
        </w:rPr>
        <w:t xml:space="preserve"> Asigurătorii (</w:t>
      </w:r>
      <w:proofErr w:type="spellStart"/>
      <w:r w:rsidRPr="005A38E8">
        <w:rPr>
          <w:lang w:val="ro-RO"/>
        </w:rPr>
        <w:t>reasigurătorii</w:t>
      </w:r>
      <w:proofErr w:type="spellEnd"/>
      <w:r w:rsidRPr="005A38E8">
        <w:rPr>
          <w:lang w:val="ro-RO"/>
        </w:rPr>
        <w:t>) prezintă Băncii Naționale a Moldovei, rapoartele specificate la punctele 1 și 2 lunar, până la data de 20 a lunii următoare perioadei de raportare, iar rapoartele specificate la punctele 3 și 3</w:t>
      </w:r>
      <w:r w:rsidRPr="005A38E8">
        <w:rPr>
          <w:vertAlign w:val="superscript"/>
          <w:lang w:val="ro-RO"/>
        </w:rPr>
        <w:t xml:space="preserve">1  </w:t>
      </w:r>
      <w:r w:rsidRPr="005A38E8">
        <w:rPr>
          <w:lang w:val="ro-RO"/>
        </w:rPr>
        <w:t>trimestrial, până la data de 30 a lunii următoare perioadei de raportare cu excepția rapoartelor pentru trimestrul IV care se prezintă până la data de 1 martie.”;</w:t>
      </w:r>
    </w:p>
    <w:p w14:paraId="3B3E5315" w14:textId="1C004866" w:rsidR="006542A7" w:rsidRPr="005A38E8" w:rsidRDefault="00602515" w:rsidP="004B60DF">
      <w:pPr>
        <w:pStyle w:val="ListParagraph"/>
        <w:spacing w:before="120" w:line="259" w:lineRule="auto"/>
        <w:ind w:left="635" w:hanging="68"/>
        <w:jc w:val="both"/>
        <w:rPr>
          <w:lang w:val="ro-RO"/>
        </w:rPr>
      </w:pPr>
      <w:r>
        <w:rPr>
          <w:lang w:val="ro-RO"/>
        </w:rPr>
        <w:t>3.3</w:t>
      </w:r>
      <w:r w:rsidR="006542A7" w:rsidRPr="005A38E8">
        <w:rPr>
          <w:lang w:val="ro-RO"/>
        </w:rPr>
        <w:t xml:space="preserve"> </w:t>
      </w:r>
      <w:r>
        <w:rPr>
          <w:lang w:val="ro-RO"/>
        </w:rPr>
        <w:t>s</w:t>
      </w:r>
      <w:r w:rsidR="006542A7" w:rsidRPr="005A38E8">
        <w:rPr>
          <w:lang w:val="ro-RO"/>
        </w:rPr>
        <w:t>e completează cu pct.4</w:t>
      </w:r>
      <w:r w:rsidR="006542A7" w:rsidRPr="005A38E8">
        <w:rPr>
          <w:vertAlign w:val="superscript"/>
          <w:lang w:val="ro-RO"/>
        </w:rPr>
        <w:t xml:space="preserve">1 </w:t>
      </w:r>
      <w:r w:rsidR="006542A7" w:rsidRPr="005A38E8">
        <w:rPr>
          <w:lang w:val="ro-RO"/>
        </w:rPr>
        <w:t>și 4</w:t>
      </w:r>
      <w:r w:rsidR="006542A7" w:rsidRPr="005A38E8">
        <w:rPr>
          <w:vertAlign w:val="superscript"/>
          <w:lang w:val="ro-RO"/>
        </w:rPr>
        <w:t>2</w:t>
      </w:r>
      <w:r w:rsidR="006542A7" w:rsidRPr="005A38E8">
        <w:rPr>
          <w:lang w:val="ro-RO"/>
        </w:rPr>
        <w:t>:</w:t>
      </w:r>
    </w:p>
    <w:p w14:paraId="61061289" w14:textId="05ACA03A" w:rsidR="006542A7" w:rsidRPr="007503BF" w:rsidRDefault="006542A7" w:rsidP="004B60DF">
      <w:pPr>
        <w:pStyle w:val="ListParagraph"/>
        <w:ind w:left="0" w:firstLine="567"/>
        <w:jc w:val="both"/>
        <w:rPr>
          <w:lang w:val="ro-RO"/>
        </w:rPr>
      </w:pPr>
      <w:r w:rsidRPr="005A38E8">
        <w:rPr>
          <w:lang w:val="ro-RO"/>
        </w:rPr>
        <w:t>„</w:t>
      </w:r>
      <w:r w:rsidRPr="005A38E8">
        <w:rPr>
          <w:b/>
          <w:bCs/>
          <w:lang w:val="ro-RO"/>
        </w:rPr>
        <w:t>4</w:t>
      </w:r>
      <w:r w:rsidRPr="005A38E8">
        <w:rPr>
          <w:b/>
          <w:bCs/>
          <w:vertAlign w:val="superscript"/>
          <w:lang w:val="ro-RO"/>
        </w:rPr>
        <w:t>1</w:t>
      </w:r>
      <w:r w:rsidRPr="005A38E8">
        <w:rPr>
          <w:b/>
          <w:bCs/>
          <w:lang w:val="ro-RO"/>
        </w:rPr>
        <w:t>.</w:t>
      </w:r>
      <w:r w:rsidRPr="005A38E8">
        <w:rPr>
          <w:vertAlign w:val="superscript"/>
          <w:lang w:val="ro-RO"/>
        </w:rPr>
        <w:t xml:space="preserve"> </w:t>
      </w:r>
      <w:r w:rsidRPr="005A38E8">
        <w:rPr>
          <w:lang w:val="ro-RO"/>
        </w:rPr>
        <w:t xml:space="preserve">Concomitent cu raportarea la Banca Națională a Moldovei, </w:t>
      </w:r>
      <w:r w:rsidR="00602515">
        <w:rPr>
          <w:lang w:val="ro-RO"/>
        </w:rPr>
        <w:t>a</w:t>
      </w:r>
      <w:r w:rsidRPr="005A38E8">
        <w:rPr>
          <w:lang w:val="ro-RO"/>
        </w:rPr>
        <w:t>sigurătorii (</w:t>
      </w:r>
      <w:proofErr w:type="spellStart"/>
      <w:r w:rsidRPr="005A38E8">
        <w:rPr>
          <w:lang w:val="ro-RO"/>
        </w:rPr>
        <w:t>reasigurătorii</w:t>
      </w:r>
      <w:proofErr w:type="spellEnd"/>
      <w:r w:rsidRPr="005A38E8">
        <w:rPr>
          <w:lang w:val="ro-RO"/>
        </w:rPr>
        <w:t xml:space="preserve">) prezintă rapoartele </w:t>
      </w:r>
      <w:r w:rsidR="00602515">
        <w:rPr>
          <w:lang w:val="ro-RO"/>
        </w:rPr>
        <w:t xml:space="preserve">specificate la </w:t>
      </w:r>
      <w:r w:rsidRPr="005A38E8">
        <w:rPr>
          <w:lang w:val="ro-RO"/>
        </w:rPr>
        <w:t>pct.1 și 2 la Biroul Național al Asigurătorilor de Autovehicule în format</w:t>
      </w:r>
      <w:r w:rsidRPr="007503BF">
        <w:rPr>
          <w:lang w:val="ro-RO"/>
        </w:rPr>
        <w:t xml:space="preserve"> electronic.</w:t>
      </w:r>
    </w:p>
    <w:p w14:paraId="4101FDAB" w14:textId="77777777" w:rsidR="006542A7" w:rsidRPr="007503BF" w:rsidRDefault="006542A7" w:rsidP="006542A7">
      <w:pPr>
        <w:pStyle w:val="ListParagraph"/>
        <w:ind w:left="0" w:firstLine="633"/>
        <w:jc w:val="both"/>
        <w:rPr>
          <w:lang w:val="ro-RO"/>
        </w:rPr>
      </w:pPr>
      <w:r w:rsidRPr="007503BF">
        <w:rPr>
          <w:b/>
          <w:bCs/>
          <w:lang w:val="ro-RO"/>
        </w:rPr>
        <w:t>4</w:t>
      </w:r>
      <w:r w:rsidRPr="007503BF">
        <w:rPr>
          <w:b/>
          <w:bCs/>
          <w:vertAlign w:val="superscript"/>
          <w:lang w:val="ro-RO"/>
        </w:rPr>
        <w:t>2</w:t>
      </w:r>
      <w:r w:rsidRPr="007503BF">
        <w:rPr>
          <w:b/>
          <w:bCs/>
          <w:lang w:val="ro-RO"/>
        </w:rPr>
        <w:t>.</w:t>
      </w:r>
      <w:r w:rsidRPr="007503BF">
        <w:rPr>
          <w:lang w:val="ro-RO"/>
        </w:rPr>
        <w:t xml:space="preserve"> Rapoartele se prezintă în formă electronică conform Instrucțiunii privind modul de prezentare a rapoartelor în formă electronică la Banca Națională a Moldovei, aprobate prin Hotărârea Comitetului executiv al Băncii Naționale a Moldovei nr.245/2019. ”;</w:t>
      </w:r>
    </w:p>
    <w:p w14:paraId="046D522E" w14:textId="671ACD00" w:rsidR="006542A7" w:rsidRPr="004B60DF" w:rsidRDefault="00602515" w:rsidP="004B60DF">
      <w:pPr>
        <w:pStyle w:val="ListParagraph"/>
        <w:numPr>
          <w:ilvl w:val="1"/>
          <w:numId w:val="44"/>
        </w:numPr>
        <w:spacing w:before="120" w:after="120" w:line="259" w:lineRule="auto"/>
        <w:ind w:left="986" w:hanging="357"/>
        <w:jc w:val="both"/>
        <w:rPr>
          <w:lang w:val="ro-RO"/>
        </w:rPr>
      </w:pPr>
      <w:r w:rsidRPr="004B60DF">
        <w:rPr>
          <w:lang w:val="ro-RO"/>
        </w:rPr>
        <w:t>l</w:t>
      </w:r>
      <w:r w:rsidR="006542A7" w:rsidRPr="004B60DF">
        <w:rPr>
          <w:lang w:val="ro-RO"/>
        </w:rPr>
        <w:t>a pct.5, textul „1-3” se substituie cu textul „1-3</w:t>
      </w:r>
      <w:r w:rsidR="006542A7" w:rsidRPr="004B60DF">
        <w:rPr>
          <w:vertAlign w:val="superscript"/>
          <w:lang w:val="ro-RO"/>
        </w:rPr>
        <w:t>1</w:t>
      </w:r>
      <w:r w:rsidR="006542A7" w:rsidRPr="004B60DF">
        <w:rPr>
          <w:lang w:val="ro-RO"/>
        </w:rPr>
        <w:t>”</w:t>
      </w:r>
      <w:r w:rsidR="00620C30" w:rsidRPr="004B60DF">
        <w:rPr>
          <w:lang w:val="ro-RO"/>
        </w:rPr>
        <w:t>;</w:t>
      </w:r>
    </w:p>
    <w:p w14:paraId="5259CDE3" w14:textId="0BDB80F5" w:rsidR="0052530D" w:rsidRPr="007503BF" w:rsidRDefault="00602515" w:rsidP="004B60DF">
      <w:pPr>
        <w:pStyle w:val="ListParagraph"/>
        <w:numPr>
          <w:ilvl w:val="1"/>
          <w:numId w:val="44"/>
        </w:numPr>
        <w:spacing w:after="160" w:line="259" w:lineRule="auto"/>
        <w:contextualSpacing/>
        <w:jc w:val="both"/>
        <w:rPr>
          <w:lang w:val="ro-RO"/>
        </w:rPr>
      </w:pPr>
      <w:r>
        <w:rPr>
          <w:lang w:val="ro-RO"/>
        </w:rPr>
        <w:t>î</w:t>
      </w:r>
      <w:r w:rsidR="006542A7" w:rsidRPr="007503BF">
        <w:rPr>
          <w:lang w:val="ro-RO"/>
        </w:rPr>
        <w:t>n anexele nr.1</w:t>
      </w:r>
      <w:r w:rsidR="0052530D" w:rsidRPr="007503BF">
        <w:rPr>
          <w:lang w:val="ro-RO"/>
        </w:rPr>
        <w:t>-</w:t>
      </w:r>
      <w:r w:rsidR="006542A7" w:rsidRPr="007503BF">
        <w:rPr>
          <w:lang w:val="ro-RO"/>
        </w:rPr>
        <w:t xml:space="preserve"> nr.4, </w:t>
      </w:r>
      <w:r w:rsidR="0052530D" w:rsidRPr="007503BF">
        <w:rPr>
          <w:lang w:val="ro-RO"/>
        </w:rPr>
        <w:t>după caz:</w:t>
      </w:r>
    </w:p>
    <w:p w14:paraId="38BDD422" w14:textId="6A05D657" w:rsidR="0052530D" w:rsidRPr="00602515" w:rsidRDefault="00602515" w:rsidP="004B60DF">
      <w:pPr>
        <w:spacing w:after="160" w:line="259" w:lineRule="auto"/>
        <w:ind w:firstLine="567"/>
        <w:contextualSpacing/>
        <w:jc w:val="both"/>
        <w:rPr>
          <w:lang w:val="ro-RO"/>
        </w:rPr>
      </w:pPr>
      <w:r>
        <w:rPr>
          <w:lang w:val="ro-RO"/>
        </w:rPr>
        <w:t xml:space="preserve"> 3.5.1 </w:t>
      </w:r>
      <w:r w:rsidR="0052530D" w:rsidRPr="00602515">
        <w:rPr>
          <w:lang w:val="ro-RO"/>
        </w:rPr>
        <w:t xml:space="preserve">textul: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"/>
        <w:gridCol w:w="3544"/>
        <w:gridCol w:w="218"/>
        <w:gridCol w:w="3325"/>
        <w:gridCol w:w="218"/>
      </w:tblGrid>
      <w:tr w:rsidR="0052530D" w:rsidRPr="007503BF" w14:paraId="472BD902" w14:textId="77777777" w:rsidTr="0052530D">
        <w:trPr>
          <w:gridAfter w:val="1"/>
          <w:wAfter w:w="218" w:type="dxa"/>
        </w:trPr>
        <w:tc>
          <w:tcPr>
            <w:tcW w:w="3762" w:type="dxa"/>
            <w:gridSpan w:val="2"/>
          </w:tcPr>
          <w:p w14:paraId="41D832C1" w14:textId="7D00C2C9" w:rsidR="0052530D" w:rsidRPr="007503BF" w:rsidRDefault="0052530D" w:rsidP="0052530D">
            <w:pPr>
              <w:pStyle w:val="ListParagraph"/>
              <w:spacing w:after="160" w:line="259" w:lineRule="auto"/>
              <w:ind w:left="0"/>
              <w:contextualSpacing/>
              <w:jc w:val="both"/>
              <w:rPr>
                <w:lang w:val="ro-RO"/>
              </w:rPr>
            </w:pPr>
            <w:r w:rsidRPr="007503BF">
              <w:rPr>
                <w:lang w:val="ro-RO"/>
              </w:rPr>
              <w:t>„Conducătorul asigurătorului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1E1FDB46" w14:textId="77777777" w:rsidR="0052530D" w:rsidRPr="007503BF" w:rsidRDefault="0052530D" w:rsidP="0052530D">
            <w:pPr>
              <w:pStyle w:val="ListParagraph"/>
              <w:spacing w:after="160"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</w:tr>
      <w:tr w:rsidR="0052530D" w:rsidRPr="007503BF" w14:paraId="450A2F0F" w14:textId="77777777" w:rsidTr="0052530D">
        <w:trPr>
          <w:gridBefore w:val="1"/>
          <w:wBefore w:w="218" w:type="dxa"/>
        </w:trPr>
        <w:tc>
          <w:tcPr>
            <w:tcW w:w="3762" w:type="dxa"/>
            <w:gridSpan w:val="2"/>
          </w:tcPr>
          <w:p w14:paraId="7830EDA0" w14:textId="77777777" w:rsidR="0052530D" w:rsidRPr="007503BF" w:rsidRDefault="0052530D" w:rsidP="0052530D">
            <w:pPr>
              <w:pStyle w:val="ListParagraph"/>
              <w:spacing w:after="160"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08191368" w14:textId="325C71F0" w:rsidR="0052530D" w:rsidRPr="005E5410" w:rsidRDefault="0052530D" w:rsidP="0052530D">
            <w:pPr>
              <w:pStyle w:val="ListParagraph"/>
              <w:spacing w:after="160" w:line="259" w:lineRule="auto"/>
              <w:ind w:left="0"/>
              <w:contextualSpacing/>
              <w:jc w:val="center"/>
              <w:rPr>
                <w:sz w:val="20"/>
                <w:szCs w:val="20"/>
                <w:lang w:val="ro-RO"/>
              </w:rPr>
            </w:pPr>
            <w:r w:rsidRPr="005E5410">
              <w:rPr>
                <w:sz w:val="20"/>
                <w:szCs w:val="20"/>
                <w:lang w:val="ro-RO"/>
              </w:rPr>
              <w:t>Nume, prenume</w:t>
            </w:r>
          </w:p>
        </w:tc>
      </w:tr>
      <w:tr w:rsidR="0052530D" w:rsidRPr="007503BF" w14:paraId="4EB4B9A5" w14:textId="77777777" w:rsidTr="0052530D">
        <w:trPr>
          <w:gridAfter w:val="1"/>
          <w:wAfter w:w="218" w:type="dxa"/>
        </w:trPr>
        <w:tc>
          <w:tcPr>
            <w:tcW w:w="3762" w:type="dxa"/>
            <w:gridSpan w:val="2"/>
          </w:tcPr>
          <w:p w14:paraId="32BC27B8" w14:textId="7B13D26C" w:rsidR="0052530D" w:rsidRPr="007503BF" w:rsidRDefault="0052530D" w:rsidP="0052530D">
            <w:pPr>
              <w:pStyle w:val="ListParagraph"/>
              <w:spacing w:after="160" w:line="259" w:lineRule="auto"/>
              <w:ind w:left="0"/>
              <w:contextualSpacing/>
              <w:jc w:val="both"/>
              <w:rPr>
                <w:lang w:val="ro-RO"/>
              </w:rPr>
            </w:pPr>
            <w:r w:rsidRPr="007503BF">
              <w:rPr>
                <w:lang w:val="ro-RO"/>
              </w:rPr>
              <w:t>Persoana responsabilă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774C8C71" w14:textId="77777777" w:rsidR="0052530D" w:rsidRPr="007503BF" w:rsidRDefault="0052530D" w:rsidP="0052530D">
            <w:pPr>
              <w:pStyle w:val="ListParagraph"/>
              <w:spacing w:after="160" w:line="259" w:lineRule="auto"/>
              <w:ind w:left="0"/>
              <w:contextualSpacing/>
              <w:jc w:val="center"/>
              <w:rPr>
                <w:lang w:val="ro-RO"/>
              </w:rPr>
            </w:pPr>
          </w:p>
        </w:tc>
      </w:tr>
      <w:tr w:rsidR="0052530D" w:rsidRPr="007503BF" w14:paraId="2A055C39" w14:textId="77777777" w:rsidTr="0052530D">
        <w:trPr>
          <w:gridAfter w:val="1"/>
          <w:wAfter w:w="218" w:type="dxa"/>
        </w:trPr>
        <w:tc>
          <w:tcPr>
            <w:tcW w:w="3762" w:type="dxa"/>
            <w:gridSpan w:val="2"/>
          </w:tcPr>
          <w:p w14:paraId="0642CCAE" w14:textId="77777777" w:rsidR="0052530D" w:rsidRPr="007503BF" w:rsidRDefault="0052530D" w:rsidP="0052530D">
            <w:pPr>
              <w:pStyle w:val="ListParagraph"/>
              <w:spacing w:after="160"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4BB2EB9A" w14:textId="213D9CBF" w:rsidR="0052530D" w:rsidRPr="007503BF" w:rsidRDefault="0052530D" w:rsidP="0052530D">
            <w:pPr>
              <w:pStyle w:val="ListParagraph"/>
              <w:spacing w:after="160" w:line="259" w:lineRule="auto"/>
              <w:ind w:left="0"/>
              <w:contextualSpacing/>
              <w:jc w:val="center"/>
              <w:rPr>
                <w:lang w:val="ro-RO"/>
              </w:rPr>
            </w:pPr>
            <w:r w:rsidRPr="005E5410">
              <w:rPr>
                <w:sz w:val="20"/>
                <w:szCs w:val="20"/>
                <w:lang w:val="ro-RO"/>
              </w:rPr>
              <w:t>Nume, prenume</w:t>
            </w:r>
            <w:r w:rsidRPr="007503BF">
              <w:rPr>
                <w:lang w:val="ro-RO"/>
              </w:rPr>
              <w:t>”</w:t>
            </w:r>
          </w:p>
        </w:tc>
      </w:tr>
    </w:tbl>
    <w:p w14:paraId="6631FEA1" w14:textId="3701B59D" w:rsidR="0052530D" w:rsidRPr="007503BF" w:rsidRDefault="0052530D" w:rsidP="0052530D">
      <w:pPr>
        <w:spacing w:after="160" w:line="259" w:lineRule="auto"/>
        <w:contextualSpacing/>
        <w:jc w:val="both"/>
        <w:rPr>
          <w:lang w:val="ro-RO"/>
        </w:rPr>
      </w:pPr>
      <w:r w:rsidRPr="007503BF">
        <w:rPr>
          <w:lang w:val="ro-RO"/>
        </w:rPr>
        <w:t>și textul: „Conducătorul asigurătorului______________  Actuarul asigurătorului____________”</w:t>
      </w:r>
    </w:p>
    <w:p w14:paraId="7E85AAD4" w14:textId="21A586D3" w:rsidR="0052530D" w:rsidRPr="007503BF" w:rsidRDefault="0052530D" w:rsidP="0052530D">
      <w:pPr>
        <w:spacing w:after="160" w:line="259" w:lineRule="auto"/>
        <w:contextualSpacing/>
        <w:jc w:val="both"/>
        <w:rPr>
          <w:lang w:val="ro-RO"/>
        </w:rPr>
      </w:pPr>
      <w:r w:rsidRPr="007503BF">
        <w:rPr>
          <w:lang w:val="ro-RO"/>
        </w:rPr>
        <w:t>se substituie cu textul:</w:t>
      </w:r>
    </w:p>
    <w:p w14:paraId="6E9ECAE1" w14:textId="6A05ADCE" w:rsidR="0052530D" w:rsidRPr="007503BF" w:rsidRDefault="0052530D" w:rsidP="0052530D">
      <w:pPr>
        <w:spacing w:before="240"/>
        <w:jc w:val="both"/>
        <w:rPr>
          <w:lang w:val="ro-RO" w:eastAsia="ro-MD"/>
        </w:rPr>
      </w:pPr>
      <w:r w:rsidRPr="007503BF">
        <w:rPr>
          <w:lang w:val="ro-RO"/>
        </w:rPr>
        <w:t xml:space="preserve">„ </w:t>
      </w:r>
      <w:r w:rsidRPr="007503BF">
        <w:rPr>
          <w:lang w:val="ro-RO" w:eastAsia="ro-MD"/>
        </w:rPr>
        <w:t>Executor: Numele, prenumele____________________ Datele de contact</w:t>
      </w:r>
      <w:r w:rsidR="0013358B" w:rsidRPr="007503BF">
        <w:rPr>
          <w:lang w:val="ro-RO" w:eastAsia="ro-MD"/>
        </w:rPr>
        <w:t>:</w:t>
      </w:r>
      <w:r w:rsidRPr="007503BF">
        <w:rPr>
          <w:lang w:val="ro-RO" w:eastAsia="ro-MD"/>
        </w:rPr>
        <w:t xml:space="preserve"> ________________”.</w:t>
      </w:r>
    </w:p>
    <w:p w14:paraId="77C4369A" w14:textId="77777777" w:rsidR="0052530D" w:rsidRPr="007503BF" w:rsidRDefault="0052530D" w:rsidP="0052530D">
      <w:pPr>
        <w:pStyle w:val="ListParagraph"/>
        <w:spacing w:after="160" w:line="259" w:lineRule="auto"/>
        <w:ind w:left="633"/>
        <w:contextualSpacing/>
        <w:jc w:val="both"/>
        <w:rPr>
          <w:lang w:val="ro-RO"/>
        </w:rPr>
      </w:pPr>
    </w:p>
    <w:p w14:paraId="70F66601" w14:textId="2D55F17D" w:rsidR="006542A7" w:rsidRPr="007503BF" w:rsidRDefault="00602515" w:rsidP="004B60DF">
      <w:pPr>
        <w:pStyle w:val="ListParagraph"/>
        <w:numPr>
          <w:ilvl w:val="2"/>
          <w:numId w:val="45"/>
        </w:numPr>
        <w:spacing w:after="120" w:line="259" w:lineRule="auto"/>
        <w:ind w:left="0" w:firstLine="629"/>
        <w:jc w:val="both"/>
        <w:rPr>
          <w:lang w:val="ro-RO"/>
        </w:rPr>
      </w:pPr>
      <w:r>
        <w:rPr>
          <w:lang w:val="ro-RO"/>
        </w:rPr>
        <w:t>în</w:t>
      </w:r>
      <w:r w:rsidR="006542A7" w:rsidRPr="007503BF">
        <w:rPr>
          <w:lang w:val="ro-RO"/>
        </w:rPr>
        <w:t xml:space="preserve"> modul de completare al rapoartelor, textul „CNPF” se substituie cu textul „Băncii Naționale a Moldovei”</w:t>
      </w:r>
      <w:r w:rsidR="00620C30" w:rsidRPr="007503BF">
        <w:rPr>
          <w:lang w:val="ro-RO"/>
        </w:rPr>
        <w:t>;</w:t>
      </w:r>
    </w:p>
    <w:p w14:paraId="37B43684" w14:textId="551E1150" w:rsidR="006542A7" w:rsidRPr="007503BF" w:rsidRDefault="006542A7" w:rsidP="004B60DF">
      <w:pPr>
        <w:pStyle w:val="ListParagraph"/>
        <w:numPr>
          <w:ilvl w:val="2"/>
          <w:numId w:val="45"/>
        </w:numPr>
        <w:spacing w:before="120" w:after="120" w:line="259" w:lineRule="auto"/>
        <w:ind w:left="0" w:firstLine="629"/>
        <w:jc w:val="both"/>
        <w:rPr>
          <w:lang w:val="ro-RO"/>
        </w:rPr>
      </w:pPr>
      <w:r w:rsidRPr="007503BF">
        <w:rPr>
          <w:lang w:val="ro-RO"/>
        </w:rPr>
        <w:t>textul „Anexa nr.1 la Legea nr.407/2006 cu privire la asigurări,” se substituie cu textul „Anexa la Legea nr.92/2022 privind activitatea de asigurare sau de reasigurare”.</w:t>
      </w:r>
    </w:p>
    <w:p w14:paraId="46067EEA" w14:textId="7D8B2025" w:rsidR="0047098B" w:rsidRPr="007503BF" w:rsidRDefault="009127AA" w:rsidP="004B60DF">
      <w:pPr>
        <w:pStyle w:val="ListParagraph"/>
        <w:numPr>
          <w:ilvl w:val="0"/>
          <w:numId w:val="45"/>
        </w:numPr>
        <w:spacing w:before="240" w:after="160" w:line="259" w:lineRule="auto"/>
        <w:ind w:left="0" w:firstLine="709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. </w:t>
      </w:r>
      <w:r w:rsidR="0047098B" w:rsidRPr="007503BF">
        <w:rPr>
          <w:b/>
          <w:bCs/>
          <w:lang w:val="ro-RO"/>
        </w:rPr>
        <w:t>Regulamentul privind situațiile financiare specializate ale societăților de asigurare sau de reasigurare, aprobat prin Hotărârea Comisiei Naționale a Pieței Financiare nr.30/13/2023 (Monitorul Oficial al R. Moldova, 2023, nr. 216-219, art. 622) se modifică după cum urmează:</w:t>
      </w:r>
    </w:p>
    <w:p w14:paraId="023FAAEF" w14:textId="4BBAC36D" w:rsidR="0047098B" w:rsidRPr="007503BF" w:rsidRDefault="009127AA" w:rsidP="004B60DF">
      <w:pPr>
        <w:pStyle w:val="ListParagraph"/>
        <w:numPr>
          <w:ilvl w:val="1"/>
          <w:numId w:val="46"/>
        </w:numPr>
        <w:spacing w:after="120" w:line="259" w:lineRule="auto"/>
        <w:ind w:left="924" w:hanging="357"/>
        <w:jc w:val="both"/>
        <w:rPr>
          <w:lang w:val="ro-RO"/>
        </w:rPr>
      </w:pPr>
      <w:r>
        <w:rPr>
          <w:lang w:val="ro-RO"/>
        </w:rPr>
        <w:t>l</w:t>
      </w:r>
      <w:r w:rsidR="0047098B" w:rsidRPr="007503BF">
        <w:rPr>
          <w:lang w:val="ro-RO"/>
        </w:rPr>
        <w:t>a pct. 9, textul „în formă electronică, cu semnătură electronică,”</w:t>
      </w:r>
      <w:r>
        <w:rPr>
          <w:lang w:val="ro-RO"/>
        </w:rPr>
        <w:t xml:space="preserve"> se exclude</w:t>
      </w:r>
      <w:r w:rsidR="0047098B" w:rsidRPr="007503BF">
        <w:rPr>
          <w:lang w:val="ro-RO"/>
        </w:rPr>
        <w:t>;</w:t>
      </w:r>
    </w:p>
    <w:p w14:paraId="5F8D47B9" w14:textId="56E8034A" w:rsidR="0047098B" w:rsidRPr="004B60DF" w:rsidRDefault="009127AA" w:rsidP="004B60DF">
      <w:pPr>
        <w:pStyle w:val="ListParagraph"/>
        <w:numPr>
          <w:ilvl w:val="1"/>
          <w:numId w:val="46"/>
        </w:numPr>
        <w:spacing w:before="120" w:line="259" w:lineRule="auto"/>
        <w:ind w:left="924" w:hanging="357"/>
        <w:jc w:val="both"/>
        <w:rPr>
          <w:lang w:val="ro-RO"/>
        </w:rPr>
      </w:pPr>
      <w:r>
        <w:rPr>
          <w:lang w:val="ro-RO"/>
        </w:rPr>
        <w:t>s</w:t>
      </w:r>
      <w:r w:rsidR="0047098B" w:rsidRPr="004B60DF">
        <w:rPr>
          <w:lang w:val="ro-RO"/>
        </w:rPr>
        <w:t xml:space="preserve">e completează cu </w:t>
      </w:r>
      <w:r w:rsidR="00C33517" w:rsidRPr="004B60DF">
        <w:rPr>
          <w:lang w:val="ro-RO"/>
        </w:rPr>
        <w:t>pct.9</w:t>
      </w:r>
      <w:r w:rsidR="00C33517" w:rsidRPr="004B60DF">
        <w:rPr>
          <w:vertAlign w:val="superscript"/>
          <w:lang w:val="ro-RO"/>
        </w:rPr>
        <w:t>1</w:t>
      </w:r>
      <w:r w:rsidR="0047098B" w:rsidRPr="004B60DF">
        <w:rPr>
          <w:lang w:val="ro-RO"/>
        </w:rPr>
        <w:t>:</w:t>
      </w:r>
    </w:p>
    <w:p w14:paraId="4A056730" w14:textId="1DD30DCB" w:rsidR="0047098B" w:rsidRPr="007503BF" w:rsidRDefault="0047098B" w:rsidP="00B97BAC">
      <w:pPr>
        <w:spacing w:before="120" w:after="120" w:line="259" w:lineRule="auto"/>
        <w:ind w:firstLine="562"/>
        <w:jc w:val="both"/>
        <w:rPr>
          <w:lang w:val="ro-RO"/>
        </w:rPr>
      </w:pPr>
      <w:r w:rsidRPr="007503BF">
        <w:rPr>
          <w:lang w:val="ro-RO"/>
        </w:rPr>
        <w:t>„</w:t>
      </w:r>
      <w:r w:rsidR="002104C4" w:rsidRPr="007503BF">
        <w:rPr>
          <w:b/>
          <w:bCs/>
          <w:lang w:val="ro-RO"/>
        </w:rPr>
        <w:t>9</w:t>
      </w:r>
      <w:r w:rsidR="002104C4" w:rsidRPr="007503BF">
        <w:rPr>
          <w:b/>
          <w:bCs/>
          <w:vertAlign w:val="superscript"/>
          <w:lang w:val="ro-RO"/>
        </w:rPr>
        <w:t>1</w:t>
      </w:r>
      <w:r w:rsidR="002104C4" w:rsidRPr="007503BF">
        <w:rPr>
          <w:lang w:val="ro-RO"/>
        </w:rPr>
        <w:t>.</w:t>
      </w:r>
      <w:r w:rsidR="00C33517" w:rsidRPr="007503BF">
        <w:rPr>
          <w:lang w:val="ro-RO"/>
        </w:rPr>
        <w:t xml:space="preserve"> </w:t>
      </w:r>
      <w:r w:rsidRPr="007503BF">
        <w:rPr>
          <w:lang w:val="ro-RO"/>
        </w:rPr>
        <w:t>Rapoartele se prezintă în formă electronică conform Instrucțiunii privind modul de prezentare a rapoartelor în formă electronică la Banca Națională a Moldovei, aprobate prin Hotărârea Comitetului executiv al Băncii Naționale a Moldovei nr.245/2019.”</w:t>
      </w:r>
      <w:r w:rsidR="009127AA">
        <w:rPr>
          <w:lang w:val="ro-RO"/>
        </w:rPr>
        <w:t>;</w:t>
      </w:r>
    </w:p>
    <w:p w14:paraId="0F4A13C5" w14:textId="44C4EB67" w:rsidR="005A38E8" w:rsidRPr="007503BF" w:rsidRDefault="009127AA" w:rsidP="004B60DF">
      <w:pPr>
        <w:pStyle w:val="ListParagraph"/>
        <w:numPr>
          <w:ilvl w:val="1"/>
          <w:numId w:val="46"/>
        </w:numPr>
        <w:spacing w:before="120" w:after="120" w:line="259" w:lineRule="auto"/>
        <w:jc w:val="both"/>
        <w:rPr>
          <w:lang w:val="ro-RO"/>
        </w:rPr>
      </w:pPr>
      <w:r>
        <w:rPr>
          <w:lang w:val="ro-RO"/>
        </w:rPr>
        <w:t>s</w:t>
      </w:r>
      <w:r w:rsidR="005A38E8" w:rsidRPr="007503BF">
        <w:rPr>
          <w:lang w:val="ro-RO"/>
        </w:rPr>
        <w:t>e completează cu pct.14</w:t>
      </w:r>
      <w:r w:rsidR="005A38E8" w:rsidRPr="007503BF">
        <w:rPr>
          <w:vertAlign w:val="superscript"/>
          <w:lang w:val="ro-RO"/>
        </w:rPr>
        <w:t>1</w:t>
      </w:r>
      <w:r w:rsidR="005A38E8" w:rsidRPr="007503BF">
        <w:rPr>
          <w:lang w:val="ro-RO"/>
        </w:rPr>
        <w:t>:</w:t>
      </w:r>
    </w:p>
    <w:p w14:paraId="1136AAF4" w14:textId="618D687D" w:rsidR="00C33517" w:rsidRDefault="009127AA" w:rsidP="005A38E8">
      <w:pPr>
        <w:pStyle w:val="ListParagraph"/>
        <w:spacing w:before="120" w:after="240" w:line="259" w:lineRule="auto"/>
        <w:ind w:left="0" w:firstLine="567"/>
        <w:jc w:val="both"/>
        <w:rPr>
          <w:lang w:val="ro-RO"/>
        </w:rPr>
      </w:pPr>
      <w:r>
        <w:rPr>
          <w:b/>
          <w:bCs/>
          <w:lang w:val="ro-RO"/>
        </w:rPr>
        <w:t>„</w:t>
      </w:r>
      <w:r w:rsidR="005A38E8" w:rsidRPr="005A38E8">
        <w:rPr>
          <w:b/>
          <w:bCs/>
          <w:lang w:val="ro-RO"/>
        </w:rPr>
        <w:t>14</w:t>
      </w:r>
      <w:r w:rsidR="005A38E8" w:rsidRPr="005A38E8">
        <w:rPr>
          <w:b/>
          <w:bCs/>
          <w:vertAlign w:val="superscript"/>
          <w:lang w:val="ro-RO"/>
        </w:rPr>
        <w:t>1</w:t>
      </w:r>
      <w:r w:rsidR="005A38E8" w:rsidRPr="005A38E8">
        <w:rPr>
          <w:b/>
          <w:bCs/>
          <w:lang w:val="ro-RO"/>
        </w:rPr>
        <w:t>.</w:t>
      </w:r>
      <w:r w:rsidR="005A38E8">
        <w:rPr>
          <w:lang w:val="ro-RO"/>
        </w:rPr>
        <w:t xml:space="preserve"> </w:t>
      </w:r>
      <w:r w:rsidR="00C33517" w:rsidRPr="005A38E8">
        <w:rPr>
          <w:lang w:val="ro-RO"/>
        </w:rPr>
        <w:t>Rapoartele indicate la pct.9 subpct.1) pentru situația din 31 decembrie pot fi prezentate repetat</w:t>
      </w:r>
      <w:r w:rsidR="00167733" w:rsidRPr="005A38E8">
        <w:rPr>
          <w:lang w:val="ro-RO"/>
        </w:rPr>
        <w:t xml:space="preserve"> doar până la prezentarea rapoartelor indicate la pct.9 subpct.2).</w:t>
      </w:r>
      <w:r>
        <w:rPr>
          <w:lang w:val="ro-RO"/>
        </w:rPr>
        <w:t>”;</w:t>
      </w:r>
    </w:p>
    <w:p w14:paraId="4DD91296" w14:textId="5DF54AA3" w:rsidR="00B97BAC" w:rsidRDefault="009127AA" w:rsidP="005A38E8">
      <w:pPr>
        <w:pStyle w:val="ListParagraph"/>
        <w:spacing w:before="120" w:after="240" w:line="259" w:lineRule="auto"/>
        <w:ind w:left="0" w:firstLine="567"/>
        <w:jc w:val="both"/>
        <w:rPr>
          <w:lang w:val="ro-RO"/>
        </w:rPr>
      </w:pPr>
      <w:r>
        <w:rPr>
          <w:lang w:val="ro-RO"/>
        </w:rPr>
        <w:t>4.4</w:t>
      </w:r>
      <w:r w:rsidR="00B97BAC">
        <w:rPr>
          <w:lang w:val="ro-RO"/>
        </w:rPr>
        <w:t xml:space="preserve"> </w:t>
      </w:r>
      <w:r>
        <w:rPr>
          <w:lang w:val="ro-RO"/>
        </w:rPr>
        <w:t>î</w:t>
      </w:r>
      <w:r w:rsidR="00B97BAC">
        <w:rPr>
          <w:lang w:val="ro-RO"/>
        </w:rPr>
        <w:t xml:space="preserve">n </w:t>
      </w:r>
      <w:r w:rsidR="007A5153">
        <w:rPr>
          <w:lang w:val="ro-RO"/>
        </w:rPr>
        <w:t xml:space="preserve">toate </w:t>
      </w:r>
      <w:r w:rsidR="00B97BAC">
        <w:rPr>
          <w:lang w:val="ro-RO"/>
        </w:rPr>
        <w:t>anex</w:t>
      </w:r>
      <w:r w:rsidR="00693B6C">
        <w:rPr>
          <w:lang w:val="ro-RO"/>
        </w:rPr>
        <w:t>ele</w:t>
      </w:r>
      <w:r w:rsidR="007A5153">
        <w:rPr>
          <w:lang w:val="ro-RO"/>
        </w:rPr>
        <w:t>, textul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218"/>
        <w:gridCol w:w="3325"/>
      </w:tblGrid>
      <w:tr w:rsidR="00693B6C" w:rsidRPr="008C178F" w14:paraId="62C94B42" w14:textId="77777777" w:rsidTr="008C178F">
        <w:tc>
          <w:tcPr>
            <w:tcW w:w="3762" w:type="dxa"/>
          </w:tcPr>
          <w:p w14:paraId="22A2CE42" w14:textId="177EC6F9" w:rsidR="00693B6C" w:rsidRPr="008C178F" w:rsidRDefault="00693B6C" w:rsidP="00693B6C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„Data întocmirii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5ACF6E5A" w14:textId="77777777" w:rsidR="00693B6C" w:rsidRPr="008C178F" w:rsidRDefault="00693B6C" w:rsidP="00693B6C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</w:tr>
      <w:tr w:rsidR="00693B6C" w:rsidRPr="008C178F" w14:paraId="45D70B9F" w14:textId="77777777" w:rsidTr="008C178F">
        <w:tc>
          <w:tcPr>
            <w:tcW w:w="3762" w:type="dxa"/>
          </w:tcPr>
          <w:p w14:paraId="58B3627A" w14:textId="502B034B" w:rsidR="00693B6C" w:rsidRPr="008C178F" w:rsidRDefault="00693B6C" w:rsidP="00693B6C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Contabilul - șef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74D5B6E9" w14:textId="77777777" w:rsidR="00693B6C" w:rsidRPr="008C178F" w:rsidRDefault="00693B6C" w:rsidP="00693B6C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</w:tr>
      <w:tr w:rsidR="00693B6C" w:rsidRPr="008C178F" w14:paraId="232C8758" w14:textId="77777777" w:rsidTr="00693B6C">
        <w:tc>
          <w:tcPr>
            <w:tcW w:w="3980" w:type="dxa"/>
            <w:gridSpan w:val="2"/>
          </w:tcPr>
          <w:p w14:paraId="65E599B8" w14:textId="77777777" w:rsidR="00693B6C" w:rsidRPr="008C178F" w:rsidRDefault="00693B6C" w:rsidP="00693B6C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34470235" w14:textId="1EA7FF5A" w:rsidR="00693B6C" w:rsidRPr="007A5153" w:rsidRDefault="00693B6C" w:rsidP="00693B6C">
            <w:pPr>
              <w:pStyle w:val="ListParagraph"/>
              <w:spacing w:line="259" w:lineRule="auto"/>
              <w:ind w:left="0"/>
              <w:contextualSpacing/>
              <w:jc w:val="center"/>
              <w:rPr>
                <w:sz w:val="20"/>
                <w:szCs w:val="20"/>
                <w:lang w:val="ro-RO"/>
              </w:rPr>
            </w:pPr>
            <w:r w:rsidRPr="007A5153">
              <w:rPr>
                <w:sz w:val="20"/>
                <w:szCs w:val="20"/>
                <w:lang w:val="ro-RO"/>
              </w:rPr>
              <w:t>(nume, prenume, semnătură)</w:t>
            </w:r>
          </w:p>
        </w:tc>
      </w:tr>
      <w:tr w:rsidR="00693B6C" w:rsidRPr="008C178F" w14:paraId="03BFFB3B" w14:textId="77777777" w:rsidTr="008C178F">
        <w:tc>
          <w:tcPr>
            <w:tcW w:w="3762" w:type="dxa"/>
          </w:tcPr>
          <w:p w14:paraId="7E50F782" w14:textId="59F7FC56" w:rsidR="00693B6C" w:rsidRPr="008C178F" w:rsidRDefault="00693B6C" w:rsidP="00693B6C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Conducătorul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03342D71" w14:textId="77777777" w:rsidR="00693B6C" w:rsidRPr="008C178F" w:rsidRDefault="00693B6C" w:rsidP="00693B6C">
            <w:pPr>
              <w:pStyle w:val="ListParagraph"/>
              <w:spacing w:line="259" w:lineRule="auto"/>
              <w:ind w:left="0"/>
              <w:contextualSpacing/>
              <w:jc w:val="center"/>
              <w:rPr>
                <w:lang w:val="ro-RO"/>
              </w:rPr>
            </w:pPr>
          </w:p>
        </w:tc>
      </w:tr>
      <w:tr w:rsidR="00693B6C" w:rsidRPr="008C178F" w14:paraId="7FF478DB" w14:textId="77777777" w:rsidTr="008C178F">
        <w:tc>
          <w:tcPr>
            <w:tcW w:w="3762" w:type="dxa"/>
          </w:tcPr>
          <w:p w14:paraId="7715BC3B" w14:textId="77777777" w:rsidR="00693B6C" w:rsidRPr="008C178F" w:rsidRDefault="00693B6C" w:rsidP="00693B6C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17E3244E" w14:textId="5EA6043A" w:rsidR="00693B6C" w:rsidRPr="007A5153" w:rsidRDefault="007A5153" w:rsidP="00693B6C">
            <w:pPr>
              <w:pStyle w:val="ListParagraph"/>
              <w:spacing w:line="259" w:lineRule="auto"/>
              <w:ind w:left="0"/>
              <w:contextualSpacing/>
              <w:jc w:val="center"/>
              <w:rPr>
                <w:sz w:val="20"/>
                <w:szCs w:val="20"/>
                <w:lang w:val="ro-RO"/>
              </w:rPr>
            </w:pPr>
            <w:r w:rsidRPr="007A5153">
              <w:rPr>
                <w:sz w:val="20"/>
                <w:szCs w:val="20"/>
                <w:lang w:val="ro-RO"/>
              </w:rPr>
              <w:t xml:space="preserve">    </w:t>
            </w:r>
            <w:r w:rsidR="00693B6C" w:rsidRPr="007A5153">
              <w:rPr>
                <w:sz w:val="20"/>
                <w:szCs w:val="20"/>
                <w:lang w:val="ro-RO"/>
              </w:rPr>
              <w:t>(nume, prenume, semnătură)”</w:t>
            </w:r>
          </w:p>
        </w:tc>
      </w:tr>
    </w:tbl>
    <w:p w14:paraId="5798362A" w14:textId="51C90AC0" w:rsidR="007A5153" w:rsidRDefault="007A5153" w:rsidP="00693B6C">
      <w:pPr>
        <w:spacing w:after="160" w:line="259" w:lineRule="auto"/>
        <w:contextualSpacing/>
        <w:jc w:val="both"/>
        <w:rPr>
          <w:lang w:val="ro-RO"/>
        </w:rPr>
      </w:pPr>
      <w:r>
        <w:rPr>
          <w:lang w:val="ro-RO"/>
        </w:rPr>
        <w:t>și textul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218"/>
        <w:gridCol w:w="3325"/>
      </w:tblGrid>
      <w:tr w:rsidR="007A5153" w:rsidRPr="008C178F" w14:paraId="138F1DC6" w14:textId="77777777" w:rsidTr="008C178F">
        <w:tc>
          <w:tcPr>
            <w:tcW w:w="3762" w:type="dxa"/>
          </w:tcPr>
          <w:p w14:paraId="23E66CEF" w14:textId="77777777" w:rsidR="007A5153" w:rsidRPr="008C178F" w:rsidRDefault="007A5153" w:rsidP="008C178F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„Data întocmirii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59EDD19B" w14:textId="77777777" w:rsidR="007A5153" w:rsidRPr="008C178F" w:rsidRDefault="007A5153" w:rsidP="008C178F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</w:tr>
      <w:tr w:rsidR="007A5153" w:rsidRPr="008C178F" w14:paraId="170F9EE0" w14:textId="77777777" w:rsidTr="008C178F">
        <w:tc>
          <w:tcPr>
            <w:tcW w:w="3762" w:type="dxa"/>
          </w:tcPr>
          <w:p w14:paraId="7475EF12" w14:textId="77777777" w:rsidR="007A5153" w:rsidRPr="008C178F" w:rsidRDefault="007A5153" w:rsidP="008C178F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Contabilul - șef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6B6183F1" w14:textId="77777777" w:rsidR="007A5153" w:rsidRPr="008C178F" w:rsidRDefault="007A5153" w:rsidP="008C178F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</w:tr>
      <w:tr w:rsidR="007A5153" w:rsidRPr="008C178F" w14:paraId="41007A0E" w14:textId="77777777" w:rsidTr="008C178F">
        <w:tc>
          <w:tcPr>
            <w:tcW w:w="3980" w:type="dxa"/>
            <w:gridSpan w:val="2"/>
          </w:tcPr>
          <w:p w14:paraId="4D4EC79F" w14:textId="77777777" w:rsidR="007A5153" w:rsidRPr="008C178F" w:rsidRDefault="007A5153" w:rsidP="008C178F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624D0D34" w14:textId="77777777" w:rsidR="007A5153" w:rsidRPr="008C178F" w:rsidRDefault="007A5153" w:rsidP="008C178F">
            <w:pPr>
              <w:pStyle w:val="ListParagraph"/>
              <w:spacing w:line="259" w:lineRule="auto"/>
              <w:ind w:left="0"/>
              <w:contextualSpacing/>
              <w:jc w:val="center"/>
              <w:rPr>
                <w:sz w:val="20"/>
                <w:szCs w:val="20"/>
                <w:lang w:val="ro-RO"/>
              </w:rPr>
            </w:pPr>
            <w:r w:rsidRPr="008C178F">
              <w:rPr>
                <w:sz w:val="20"/>
                <w:szCs w:val="20"/>
                <w:lang w:val="ro-RO"/>
              </w:rPr>
              <w:t>(nume, prenume, semnătură)</w:t>
            </w:r>
          </w:p>
        </w:tc>
      </w:tr>
      <w:tr w:rsidR="007A5153" w:rsidRPr="008C178F" w14:paraId="483894E6" w14:textId="77777777" w:rsidTr="008C178F">
        <w:tc>
          <w:tcPr>
            <w:tcW w:w="3762" w:type="dxa"/>
          </w:tcPr>
          <w:p w14:paraId="4A572FB8" w14:textId="77777777" w:rsidR="007A5153" w:rsidRPr="008C178F" w:rsidRDefault="007A5153" w:rsidP="008C178F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Conducătorul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0DCE8E5F" w14:textId="77777777" w:rsidR="007A5153" w:rsidRPr="008C178F" w:rsidRDefault="007A5153" w:rsidP="008C178F">
            <w:pPr>
              <w:pStyle w:val="ListParagraph"/>
              <w:spacing w:line="259" w:lineRule="auto"/>
              <w:ind w:left="0"/>
              <w:contextualSpacing/>
              <w:jc w:val="center"/>
              <w:rPr>
                <w:lang w:val="ro-RO"/>
              </w:rPr>
            </w:pPr>
          </w:p>
        </w:tc>
      </w:tr>
      <w:tr w:rsidR="007A5153" w:rsidRPr="008C178F" w14:paraId="43CED9E4" w14:textId="77777777" w:rsidTr="006F4005">
        <w:tc>
          <w:tcPr>
            <w:tcW w:w="3762" w:type="dxa"/>
          </w:tcPr>
          <w:p w14:paraId="3DB512D9" w14:textId="77777777" w:rsidR="007A5153" w:rsidRPr="008C178F" w:rsidRDefault="007A5153" w:rsidP="008C178F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66A0D9C2" w14:textId="29B00EBC" w:rsidR="007A5153" w:rsidRPr="008C178F" w:rsidRDefault="006F4005" w:rsidP="008C178F">
            <w:pPr>
              <w:pStyle w:val="ListParagraph"/>
              <w:spacing w:line="259" w:lineRule="auto"/>
              <w:ind w:left="0"/>
              <w:contextualSpacing/>
              <w:jc w:val="center"/>
              <w:rPr>
                <w:sz w:val="20"/>
                <w:szCs w:val="20"/>
                <w:lang w:val="ro-RO"/>
              </w:rPr>
            </w:pPr>
            <w:r w:rsidRPr="008C178F">
              <w:rPr>
                <w:sz w:val="20"/>
                <w:szCs w:val="20"/>
                <w:lang w:val="ro-RO"/>
              </w:rPr>
              <w:t xml:space="preserve">    (nume, prenume, semnătură)</w:t>
            </w:r>
          </w:p>
        </w:tc>
      </w:tr>
      <w:tr w:rsidR="006F4005" w:rsidRPr="008C178F" w14:paraId="09C82FAA" w14:textId="77777777" w:rsidTr="006F4005">
        <w:tc>
          <w:tcPr>
            <w:tcW w:w="3762" w:type="dxa"/>
          </w:tcPr>
          <w:p w14:paraId="15F7E98A" w14:textId="45D88C4E" w:rsidR="006F4005" w:rsidRPr="008C178F" w:rsidRDefault="006F4005" w:rsidP="008C178F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  <w:r>
              <w:rPr>
                <w:lang w:val="ro-RO"/>
              </w:rPr>
              <w:t>Actuarul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62C71046" w14:textId="77777777" w:rsidR="006F4005" w:rsidRPr="008C178F" w:rsidRDefault="006F4005" w:rsidP="008C178F">
            <w:pPr>
              <w:pStyle w:val="ListParagraph"/>
              <w:spacing w:line="259" w:lineRule="auto"/>
              <w:ind w:left="0"/>
              <w:contextualSpacing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F4005" w:rsidRPr="008C178F" w14:paraId="058BEBE2" w14:textId="77777777" w:rsidTr="006F4005">
        <w:tc>
          <w:tcPr>
            <w:tcW w:w="3762" w:type="dxa"/>
          </w:tcPr>
          <w:p w14:paraId="30BE7C4F" w14:textId="77777777" w:rsidR="006F4005" w:rsidRPr="008C178F" w:rsidRDefault="006F4005" w:rsidP="008C178F">
            <w:pPr>
              <w:pStyle w:val="ListParagraph"/>
              <w:spacing w:line="259" w:lineRule="auto"/>
              <w:ind w:left="0"/>
              <w:contextualSpacing/>
              <w:jc w:val="both"/>
              <w:rPr>
                <w:lang w:val="ro-R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14:paraId="16B3A9F5" w14:textId="686B1792" w:rsidR="006F4005" w:rsidRPr="008C178F" w:rsidRDefault="006F4005" w:rsidP="008C178F">
            <w:pPr>
              <w:pStyle w:val="ListParagraph"/>
              <w:spacing w:line="259" w:lineRule="auto"/>
              <w:ind w:left="0"/>
              <w:contextualSpacing/>
              <w:jc w:val="center"/>
              <w:rPr>
                <w:sz w:val="20"/>
                <w:szCs w:val="20"/>
                <w:lang w:val="ro-RO"/>
              </w:rPr>
            </w:pPr>
            <w:r w:rsidRPr="008C178F">
              <w:rPr>
                <w:sz w:val="20"/>
                <w:szCs w:val="20"/>
                <w:lang w:val="ro-RO"/>
              </w:rPr>
              <w:t xml:space="preserve">    (nume, prenume, semnătură)”</w:t>
            </w:r>
          </w:p>
        </w:tc>
      </w:tr>
    </w:tbl>
    <w:p w14:paraId="4544F9A8" w14:textId="4EEC3ACA" w:rsidR="00693B6C" w:rsidRPr="008C178F" w:rsidRDefault="00693B6C" w:rsidP="00693B6C">
      <w:pPr>
        <w:spacing w:after="160" w:line="259" w:lineRule="auto"/>
        <w:contextualSpacing/>
        <w:jc w:val="both"/>
        <w:rPr>
          <w:lang w:val="ro-RO"/>
        </w:rPr>
      </w:pPr>
      <w:r w:rsidRPr="008C178F">
        <w:rPr>
          <w:lang w:val="ro-RO"/>
        </w:rPr>
        <w:t>se substituie cu textul:</w:t>
      </w:r>
    </w:p>
    <w:p w14:paraId="022A7581" w14:textId="4395CBB9" w:rsidR="00693B6C" w:rsidRPr="008C178F" w:rsidRDefault="00693B6C" w:rsidP="00693B6C">
      <w:pPr>
        <w:spacing w:before="240"/>
        <w:jc w:val="both"/>
        <w:rPr>
          <w:lang w:val="ro-RO" w:eastAsia="ro-MD"/>
        </w:rPr>
      </w:pPr>
      <w:r w:rsidRPr="008C178F">
        <w:rPr>
          <w:lang w:val="ro-RO"/>
        </w:rPr>
        <w:t xml:space="preserve">„ </w:t>
      </w:r>
      <w:r w:rsidRPr="008C178F">
        <w:rPr>
          <w:lang w:val="ro-RO" w:eastAsia="ro-MD"/>
        </w:rPr>
        <w:t>Executor: Numele, prenumele___________________ Datele de contact: ________________”.</w:t>
      </w:r>
    </w:p>
    <w:p w14:paraId="7CE891BD" w14:textId="4095BB0C" w:rsidR="007B3FC3" w:rsidRPr="005A38E8" w:rsidRDefault="007B3FC3" w:rsidP="00AF7EBA">
      <w:pPr>
        <w:spacing w:line="276" w:lineRule="auto"/>
        <w:jc w:val="both"/>
        <w:rPr>
          <w:lang w:val="ro-RO" w:eastAsia="ro-MD"/>
        </w:rPr>
      </w:pPr>
    </w:p>
    <w:sectPr w:rsidR="007B3FC3" w:rsidRPr="005A38E8" w:rsidSect="00530D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04D0" w14:textId="77777777" w:rsidR="00A40578" w:rsidRDefault="00A40578" w:rsidP="00470C7F">
      <w:r>
        <w:separator/>
      </w:r>
    </w:p>
  </w:endnote>
  <w:endnote w:type="continuationSeparator" w:id="0">
    <w:p w14:paraId="209DEADA" w14:textId="77777777" w:rsidR="00A40578" w:rsidRDefault="00A40578" w:rsidP="0047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CBFD" w14:textId="4B8439DA" w:rsidR="00F162C2" w:rsidRDefault="00F162C2" w:rsidP="00F162C2">
    <w:pPr>
      <w:pStyle w:val="Footer"/>
      <w:jc w:val="center"/>
      <w:rPr>
        <w:rFonts w:ascii="PermianSansTypeface" w:hAnsi="PermianSansTypeface"/>
        <w:color w:val="000000"/>
        <w:sz w:val="16"/>
      </w:rPr>
    </w:pPr>
  </w:p>
  <w:p w14:paraId="6EB5423E" w14:textId="71C752E0" w:rsidR="00A40578" w:rsidRDefault="0062670C" w:rsidP="00361B8F">
    <w:pPr>
      <w:pStyle w:val="Footer"/>
      <w:jc w:val="right"/>
    </w:pPr>
    <w:sdt>
      <w:sdtPr>
        <w:id w:val="-4360599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40578">
          <w:fldChar w:fldCharType="begin"/>
        </w:r>
        <w:r w:rsidR="00A40578">
          <w:instrText xml:space="preserve"> PAGE   \* MERGEFORMAT </w:instrText>
        </w:r>
        <w:r w:rsidR="00A40578">
          <w:fldChar w:fldCharType="separate"/>
        </w:r>
        <w:r w:rsidR="00A40578">
          <w:rPr>
            <w:noProof/>
          </w:rPr>
          <w:t>2</w:t>
        </w:r>
        <w:r w:rsidR="00A40578">
          <w:rPr>
            <w:noProof/>
          </w:rPr>
          <w:fldChar w:fldCharType="end"/>
        </w:r>
      </w:sdtContent>
    </w:sdt>
  </w:p>
  <w:p w14:paraId="3ABB3DC2" w14:textId="77777777" w:rsidR="00A40578" w:rsidRDefault="00A40578" w:rsidP="00361B8F">
    <w:pPr>
      <w:pStyle w:val="Footer"/>
      <w:jc w:val="center"/>
      <w:rPr>
        <w:rFonts w:ascii="PermianSansTypeface" w:hAnsi="PermianSansTypeface"/>
        <w:color w:val="00000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817D4" w14:textId="3C18E435" w:rsidR="008E748C" w:rsidRDefault="008E748C" w:rsidP="00270752">
    <w:pPr>
      <w:pStyle w:val="Footer"/>
      <w:jc w:val="center"/>
    </w:pPr>
  </w:p>
  <w:p w14:paraId="78D1EAA4" w14:textId="34687047" w:rsidR="008E748C" w:rsidRDefault="0062670C">
    <w:pPr>
      <w:pStyle w:val="Footer"/>
      <w:jc w:val="right"/>
    </w:pPr>
    <w:sdt>
      <w:sdtPr>
        <w:id w:val="19517451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748C">
          <w:fldChar w:fldCharType="begin"/>
        </w:r>
        <w:r w:rsidR="008E748C">
          <w:instrText xml:space="preserve"> PAGE   \* MERGEFORMAT </w:instrText>
        </w:r>
        <w:r w:rsidR="008E748C">
          <w:fldChar w:fldCharType="separate"/>
        </w:r>
        <w:r w:rsidR="008E748C">
          <w:rPr>
            <w:noProof/>
          </w:rPr>
          <w:t>2</w:t>
        </w:r>
        <w:r w:rsidR="008E748C">
          <w:rPr>
            <w:noProof/>
          </w:rPr>
          <w:fldChar w:fldCharType="end"/>
        </w:r>
      </w:sdtContent>
    </w:sdt>
  </w:p>
  <w:p w14:paraId="039ABF94" w14:textId="71C39FAF" w:rsidR="00A40578" w:rsidRDefault="00A40578" w:rsidP="00361B8F">
    <w:pPr>
      <w:pStyle w:val="Footer"/>
      <w:jc w:val="center"/>
      <w:rPr>
        <w:rFonts w:ascii="PermianSansTypeface" w:hAnsi="PermianSansTypeface"/>
        <w:color w:val="00000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DC23" w14:textId="2D85EA68" w:rsidR="00270752" w:rsidRDefault="00270752" w:rsidP="00270752">
    <w:pPr>
      <w:pStyle w:val="Footer"/>
      <w:rPr>
        <w:rFonts w:ascii="PermianSansTypeface" w:hAnsi="PermianSansTypeface"/>
        <w:color w:val="000000"/>
        <w:sz w:val="16"/>
      </w:rPr>
    </w:pPr>
    <w:bookmarkStart w:id="14" w:name="TITUS1FooterFirstPage"/>
  </w:p>
  <w:bookmarkEnd w:id="14"/>
  <w:p w14:paraId="357FEA82" w14:textId="057E5A65" w:rsidR="008E748C" w:rsidRDefault="008E748C" w:rsidP="00270752">
    <w:pPr>
      <w:pStyle w:val="Footer"/>
      <w:jc w:val="center"/>
      <w:rPr>
        <w:rFonts w:ascii="PermianSansTypeface" w:hAnsi="PermianSansTypeface"/>
        <w:color w:val="000000"/>
        <w:sz w:val="16"/>
      </w:rPr>
    </w:pPr>
  </w:p>
  <w:p w14:paraId="5FED8583" w14:textId="4921F8F1" w:rsidR="00F162C2" w:rsidRDefault="008E748C" w:rsidP="00382A46">
    <w:pPr>
      <w:pStyle w:val="Footer"/>
      <w:jc w:val="center"/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9AC8" w14:textId="77777777" w:rsidR="00A40578" w:rsidRDefault="00A40578" w:rsidP="00470C7F">
      <w:r>
        <w:separator/>
      </w:r>
    </w:p>
  </w:footnote>
  <w:footnote w:type="continuationSeparator" w:id="0">
    <w:p w14:paraId="53387347" w14:textId="77777777" w:rsidR="00A40578" w:rsidRDefault="00A40578" w:rsidP="0047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4326" w14:textId="3554A4E3" w:rsidR="00F162C2" w:rsidRDefault="00F162C2" w:rsidP="00F162C2">
    <w:pPr>
      <w:pStyle w:val="Header"/>
      <w:jc w:val="right"/>
      <w:rPr>
        <w:rFonts w:ascii="PermianSansTypeface" w:hAnsi="PermianSansTypeface"/>
        <w:color w:val="000000"/>
      </w:rPr>
    </w:pPr>
  </w:p>
  <w:p w14:paraId="12E0A147" w14:textId="78BBE9C8" w:rsidR="00A40578" w:rsidRDefault="00A40578" w:rsidP="00361B8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31D3" w14:textId="06D430AA" w:rsidR="00270752" w:rsidRPr="00270752" w:rsidRDefault="00270752" w:rsidP="00270752">
    <w:pPr>
      <w:pStyle w:val="Header"/>
      <w:rPr>
        <w:rFonts w:ascii="PermianSansTypeface" w:hAnsi="PermianSansTypeface"/>
        <w:color w:val="000000"/>
        <w:sz w:val="16"/>
      </w:rPr>
    </w:pPr>
    <w:bookmarkStart w:id="12" w:name="TITUS1HeaderPrimary"/>
  </w:p>
  <w:bookmarkEnd w:id="12"/>
  <w:p w14:paraId="2C9A030C" w14:textId="155BA867" w:rsidR="00270752" w:rsidRDefault="00270752" w:rsidP="00270752">
    <w:pPr>
      <w:pStyle w:val="Header"/>
      <w:jc w:val="right"/>
      <w:rPr>
        <w:rFonts w:ascii="PermianSansTypeface" w:hAnsi="PermianSansTypeface"/>
        <w:color w:val="000000"/>
      </w:rPr>
    </w:pPr>
  </w:p>
  <w:p w14:paraId="0921A372" w14:textId="4284A11E" w:rsidR="00A40578" w:rsidRDefault="00A40578" w:rsidP="00361B8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B76B" w14:textId="65066EB8" w:rsidR="00270752" w:rsidRPr="00270752" w:rsidRDefault="00270752" w:rsidP="00270752">
    <w:pPr>
      <w:pStyle w:val="Header"/>
      <w:rPr>
        <w:color w:val="000000"/>
        <w:sz w:val="16"/>
      </w:rPr>
    </w:pPr>
    <w:bookmarkStart w:id="13" w:name="TITUS1HeaderFirstPage"/>
  </w:p>
  <w:bookmarkEnd w:id="13"/>
  <w:p w14:paraId="581AF37B" w14:textId="1E497C89" w:rsidR="00F162C2" w:rsidRDefault="00F162C2" w:rsidP="00270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7F4"/>
    <w:multiLevelType w:val="hybridMultilevel"/>
    <w:tmpl w:val="E48C6FBA"/>
    <w:lvl w:ilvl="0" w:tplc="08180017">
      <w:start w:val="1"/>
      <w:numFmt w:val="lowerLetter"/>
      <w:lvlText w:val="%1)"/>
      <w:lvlJc w:val="left"/>
      <w:pPr>
        <w:ind w:left="1345" w:hanging="360"/>
      </w:pPr>
    </w:lvl>
    <w:lvl w:ilvl="1" w:tplc="08180019" w:tentative="1">
      <w:start w:val="1"/>
      <w:numFmt w:val="lowerLetter"/>
      <w:lvlText w:val="%2."/>
      <w:lvlJc w:val="left"/>
      <w:pPr>
        <w:ind w:left="2065" w:hanging="360"/>
      </w:pPr>
    </w:lvl>
    <w:lvl w:ilvl="2" w:tplc="0818001B" w:tentative="1">
      <w:start w:val="1"/>
      <w:numFmt w:val="lowerRoman"/>
      <w:lvlText w:val="%3."/>
      <w:lvlJc w:val="right"/>
      <w:pPr>
        <w:ind w:left="2785" w:hanging="180"/>
      </w:pPr>
    </w:lvl>
    <w:lvl w:ilvl="3" w:tplc="0818000F" w:tentative="1">
      <w:start w:val="1"/>
      <w:numFmt w:val="decimal"/>
      <w:lvlText w:val="%4."/>
      <w:lvlJc w:val="left"/>
      <w:pPr>
        <w:ind w:left="3505" w:hanging="360"/>
      </w:pPr>
    </w:lvl>
    <w:lvl w:ilvl="4" w:tplc="08180019" w:tentative="1">
      <w:start w:val="1"/>
      <w:numFmt w:val="lowerLetter"/>
      <w:lvlText w:val="%5."/>
      <w:lvlJc w:val="left"/>
      <w:pPr>
        <w:ind w:left="4225" w:hanging="360"/>
      </w:pPr>
    </w:lvl>
    <w:lvl w:ilvl="5" w:tplc="0818001B" w:tentative="1">
      <w:start w:val="1"/>
      <w:numFmt w:val="lowerRoman"/>
      <w:lvlText w:val="%6."/>
      <w:lvlJc w:val="right"/>
      <w:pPr>
        <w:ind w:left="4945" w:hanging="180"/>
      </w:pPr>
    </w:lvl>
    <w:lvl w:ilvl="6" w:tplc="0818000F" w:tentative="1">
      <w:start w:val="1"/>
      <w:numFmt w:val="decimal"/>
      <w:lvlText w:val="%7."/>
      <w:lvlJc w:val="left"/>
      <w:pPr>
        <w:ind w:left="5665" w:hanging="360"/>
      </w:pPr>
    </w:lvl>
    <w:lvl w:ilvl="7" w:tplc="08180019" w:tentative="1">
      <w:start w:val="1"/>
      <w:numFmt w:val="lowerLetter"/>
      <w:lvlText w:val="%8."/>
      <w:lvlJc w:val="left"/>
      <w:pPr>
        <w:ind w:left="6385" w:hanging="360"/>
      </w:pPr>
    </w:lvl>
    <w:lvl w:ilvl="8" w:tplc="0818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" w15:restartNumberingAfterBreak="0">
    <w:nsid w:val="08A26F64"/>
    <w:multiLevelType w:val="hybridMultilevel"/>
    <w:tmpl w:val="25A208B2"/>
    <w:lvl w:ilvl="0" w:tplc="72D009BE">
      <w:start w:val="1"/>
      <w:numFmt w:val="decimal"/>
      <w:suff w:val="space"/>
      <w:lvlText w:val="%1)"/>
      <w:lvlJc w:val="left"/>
      <w:pPr>
        <w:ind w:left="5889" w:hanging="360"/>
      </w:pPr>
      <w:rPr>
        <w:rFonts w:hint="default"/>
        <w:b w:val="0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31DC2"/>
    <w:multiLevelType w:val="hybridMultilevel"/>
    <w:tmpl w:val="DD12A250"/>
    <w:lvl w:ilvl="0" w:tplc="826AA2D4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BC76DE"/>
    <w:multiLevelType w:val="multilevel"/>
    <w:tmpl w:val="D5D25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80"/>
      </w:pPr>
      <w:rPr>
        <w:rFonts w:hint="default"/>
      </w:rPr>
    </w:lvl>
    <w:lvl w:ilvl="2">
      <w:start w:val="3"/>
      <w:numFmt w:val="decimal"/>
      <w:suff w:val="space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4" w15:restartNumberingAfterBreak="0">
    <w:nsid w:val="14361A16"/>
    <w:multiLevelType w:val="hybridMultilevel"/>
    <w:tmpl w:val="0D4A1638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91CB0"/>
    <w:multiLevelType w:val="hybridMultilevel"/>
    <w:tmpl w:val="124EA422"/>
    <w:lvl w:ilvl="0" w:tplc="EB64D9A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44746"/>
    <w:multiLevelType w:val="multilevel"/>
    <w:tmpl w:val="CC9876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suff w:val="space"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7" w15:restartNumberingAfterBreak="0">
    <w:nsid w:val="19033386"/>
    <w:multiLevelType w:val="hybridMultilevel"/>
    <w:tmpl w:val="5F968FF0"/>
    <w:lvl w:ilvl="0" w:tplc="9296F9F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95907"/>
    <w:multiLevelType w:val="hybridMultilevel"/>
    <w:tmpl w:val="619C09AC"/>
    <w:lvl w:ilvl="0" w:tplc="08180011">
      <w:start w:val="1"/>
      <w:numFmt w:val="decimal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C8416D"/>
    <w:multiLevelType w:val="hybridMultilevel"/>
    <w:tmpl w:val="DCBCD250"/>
    <w:lvl w:ilvl="0" w:tplc="80222D14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DAE51E2"/>
    <w:multiLevelType w:val="hybridMultilevel"/>
    <w:tmpl w:val="A1C46E72"/>
    <w:lvl w:ilvl="0" w:tplc="211C9B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42FB8"/>
    <w:multiLevelType w:val="hybridMultilevel"/>
    <w:tmpl w:val="E1C8706C"/>
    <w:lvl w:ilvl="0" w:tplc="6E5AE60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16A54"/>
    <w:multiLevelType w:val="multilevel"/>
    <w:tmpl w:val="0EF0906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i w:val="0"/>
      </w:rPr>
    </w:lvl>
    <w:lvl w:ilvl="1">
      <w:start w:val="1"/>
      <w:numFmt w:val="decimal"/>
      <w:suff w:val="space"/>
      <w:lvlText w:val="%2)"/>
      <w:lvlJc w:val="left"/>
      <w:pPr>
        <w:ind w:left="1" w:firstLine="567"/>
      </w:pPr>
      <w:rPr>
        <w:rFonts w:hint="default"/>
        <w:b/>
        <w:bCs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none"/>
      <w:suff w:val="space"/>
      <w:lvlText w:val="%4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3" w15:restartNumberingAfterBreak="0">
    <w:nsid w:val="2904462F"/>
    <w:multiLevelType w:val="multilevel"/>
    <w:tmpl w:val="80EC650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2B0A4E"/>
    <w:multiLevelType w:val="multilevel"/>
    <w:tmpl w:val="8090BA9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i w:val="0"/>
      </w:rPr>
    </w:lvl>
    <w:lvl w:ilvl="1">
      <w:start w:val="1"/>
      <w:numFmt w:val="decimal"/>
      <w:suff w:val="space"/>
      <w:lvlText w:val="%2)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none"/>
      <w:suff w:val="space"/>
      <w:lvlText w:val="%4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5" w15:restartNumberingAfterBreak="0">
    <w:nsid w:val="33754593"/>
    <w:multiLevelType w:val="hybridMultilevel"/>
    <w:tmpl w:val="B46C0F1C"/>
    <w:lvl w:ilvl="0" w:tplc="707254D8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65B4D"/>
    <w:multiLevelType w:val="multilevel"/>
    <w:tmpl w:val="A98A8B66"/>
    <w:lvl w:ilvl="0">
      <w:start w:val="3"/>
      <w:numFmt w:val="decimal"/>
      <w:lvlText w:val="%1)"/>
      <w:lvlJc w:val="left"/>
      <w:pPr>
        <w:ind w:left="0" w:firstLine="567"/>
      </w:pPr>
      <w:rPr>
        <w:rFonts w:hint="default"/>
        <w:b w:val="0"/>
        <w:bCs/>
        <w:i w:val="0"/>
      </w:rPr>
    </w:lvl>
    <w:lvl w:ilvl="1">
      <w:start w:val="12"/>
      <w:numFmt w:val="lowerLetter"/>
      <w:suff w:val="space"/>
      <w:lvlText w:val="%2)"/>
      <w:lvlJc w:val="left"/>
      <w:pPr>
        <w:ind w:left="4187" w:hanging="36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none"/>
      <w:suff w:val="space"/>
      <w:lvlText w:val="%4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37421317"/>
    <w:multiLevelType w:val="multilevel"/>
    <w:tmpl w:val="101C88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1" w:hanging="480"/>
      </w:pPr>
      <w:rPr>
        <w:rFonts w:hint="default"/>
      </w:rPr>
    </w:lvl>
    <w:lvl w:ilvl="2">
      <w:start w:val="2"/>
      <w:numFmt w:val="decimal"/>
      <w:suff w:val="space"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1800"/>
      </w:pPr>
      <w:rPr>
        <w:rFonts w:hint="default"/>
      </w:rPr>
    </w:lvl>
  </w:abstractNum>
  <w:abstractNum w:abstractNumId="18" w15:restartNumberingAfterBreak="0">
    <w:nsid w:val="3F415437"/>
    <w:multiLevelType w:val="hybridMultilevel"/>
    <w:tmpl w:val="54CEE254"/>
    <w:lvl w:ilvl="0" w:tplc="A46A0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337FE"/>
    <w:multiLevelType w:val="hybridMultilevel"/>
    <w:tmpl w:val="7C6234AA"/>
    <w:lvl w:ilvl="0" w:tplc="9BE4247C">
      <w:start w:val="1"/>
      <w:numFmt w:val="lowerLetter"/>
      <w:suff w:val="space"/>
      <w:lvlText w:val="%1)"/>
      <w:lvlJc w:val="left"/>
      <w:pPr>
        <w:ind w:left="588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145E07"/>
    <w:multiLevelType w:val="hybridMultilevel"/>
    <w:tmpl w:val="7454426E"/>
    <w:lvl w:ilvl="0" w:tplc="1A34B7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6623A5"/>
    <w:multiLevelType w:val="hybridMultilevel"/>
    <w:tmpl w:val="E1D66642"/>
    <w:lvl w:ilvl="0" w:tplc="08180011">
      <w:start w:val="1"/>
      <w:numFmt w:val="decimal"/>
      <w:lvlText w:val="%1)"/>
      <w:lvlJc w:val="left"/>
      <w:pPr>
        <w:ind w:left="3600" w:hanging="360"/>
      </w:pPr>
    </w:lvl>
    <w:lvl w:ilvl="1" w:tplc="08180019" w:tentative="1">
      <w:start w:val="1"/>
      <w:numFmt w:val="lowerLetter"/>
      <w:lvlText w:val="%2."/>
      <w:lvlJc w:val="left"/>
      <w:pPr>
        <w:ind w:left="4320" w:hanging="360"/>
      </w:pPr>
    </w:lvl>
    <w:lvl w:ilvl="2" w:tplc="0818001B" w:tentative="1">
      <w:start w:val="1"/>
      <w:numFmt w:val="lowerRoman"/>
      <w:lvlText w:val="%3."/>
      <w:lvlJc w:val="right"/>
      <w:pPr>
        <w:ind w:left="5040" w:hanging="180"/>
      </w:pPr>
    </w:lvl>
    <w:lvl w:ilvl="3" w:tplc="0818000F" w:tentative="1">
      <w:start w:val="1"/>
      <w:numFmt w:val="decimal"/>
      <w:lvlText w:val="%4."/>
      <w:lvlJc w:val="left"/>
      <w:pPr>
        <w:ind w:left="5760" w:hanging="360"/>
      </w:pPr>
    </w:lvl>
    <w:lvl w:ilvl="4" w:tplc="08180019" w:tentative="1">
      <w:start w:val="1"/>
      <w:numFmt w:val="lowerLetter"/>
      <w:lvlText w:val="%5."/>
      <w:lvlJc w:val="left"/>
      <w:pPr>
        <w:ind w:left="6480" w:hanging="360"/>
      </w:pPr>
    </w:lvl>
    <w:lvl w:ilvl="5" w:tplc="0818001B" w:tentative="1">
      <w:start w:val="1"/>
      <w:numFmt w:val="lowerRoman"/>
      <w:lvlText w:val="%6."/>
      <w:lvlJc w:val="right"/>
      <w:pPr>
        <w:ind w:left="7200" w:hanging="180"/>
      </w:pPr>
    </w:lvl>
    <w:lvl w:ilvl="6" w:tplc="0818000F" w:tentative="1">
      <w:start w:val="1"/>
      <w:numFmt w:val="decimal"/>
      <w:lvlText w:val="%7."/>
      <w:lvlJc w:val="left"/>
      <w:pPr>
        <w:ind w:left="7920" w:hanging="360"/>
      </w:pPr>
    </w:lvl>
    <w:lvl w:ilvl="7" w:tplc="08180019" w:tentative="1">
      <w:start w:val="1"/>
      <w:numFmt w:val="lowerLetter"/>
      <w:lvlText w:val="%8."/>
      <w:lvlJc w:val="left"/>
      <w:pPr>
        <w:ind w:left="8640" w:hanging="360"/>
      </w:pPr>
    </w:lvl>
    <w:lvl w:ilvl="8" w:tplc="081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9405349"/>
    <w:multiLevelType w:val="multilevel"/>
    <w:tmpl w:val="2F1E14E0"/>
    <w:lvl w:ilvl="0">
      <w:start w:val="1"/>
      <w:numFmt w:val="decimal"/>
      <w:suff w:val="space"/>
      <w:lvlText w:val="%1.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3" w15:restartNumberingAfterBreak="0">
    <w:nsid w:val="49BA35B4"/>
    <w:multiLevelType w:val="hybridMultilevel"/>
    <w:tmpl w:val="D83E5808"/>
    <w:lvl w:ilvl="0" w:tplc="1BBEB8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B664B40"/>
    <w:multiLevelType w:val="multilevel"/>
    <w:tmpl w:val="E92A77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6" w:hanging="480"/>
      </w:pPr>
      <w:rPr>
        <w:rFonts w:hint="default"/>
      </w:rPr>
    </w:lvl>
    <w:lvl w:ilvl="2">
      <w:start w:val="2"/>
      <w:numFmt w:val="decimal"/>
      <w:suff w:val="space"/>
      <w:lvlText w:val="%1.%2.%3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1800"/>
      </w:pPr>
      <w:rPr>
        <w:rFonts w:hint="default"/>
      </w:rPr>
    </w:lvl>
  </w:abstractNum>
  <w:abstractNum w:abstractNumId="25" w15:restartNumberingAfterBreak="0">
    <w:nsid w:val="4DAA2C35"/>
    <w:multiLevelType w:val="multilevel"/>
    <w:tmpl w:val="152EF6A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none"/>
      <w:suff w:val="space"/>
      <w:lvlText w:val="%4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6" w15:restartNumberingAfterBreak="0">
    <w:nsid w:val="4FAA05B6"/>
    <w:multiLevelType w:val="multilevel"/>
    <w:tmpl w:val="8528F5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suff w:val="space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BA3507"/>
    <w:multiLevelType w:val="hybridMultilevel"/>
    <w:tmpl w:val="1514F762"/>
    <w:lvl w:ilvl="0" w:tplc="7F36C954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713CD"/>
    <w:multiLevelType w:val="multilevel"/>
    <w:tmpl w:val="2F1E14E0"/>
    <w:lvl w:ilvl="0">
      <w:start w:val="1"/>
      <w:numFmt w:val="decimal"/>
      <w:suff w:val="space"/>
      <w:lvlText w:val="%1.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9" w15:restartNumberingAfterBreak="0">
    <w:nsid w:val="55C642BA"/>
    <w:multiLevelType w:val="multilevel"/>
    <w:tmpl w:val="FAD441DE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AEB3886"/>
    <w:multiLevelType w:val="hybridMultilevel"/>
    <w:tmpl w:val="FC6660E8"/>
    <w:lvl w:ilvl="0" w:tplc="722678B2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7284B"/>
    <w:multiLevelType w:val="hybridMultilevel"/>
    <w:tmpl w:val="BE345702"/>
    <w:lvl w:ilvl="0" w:tplc="B81EF71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2206C"/>
    <w:multiLevelType w:val="multilevel"/>
    <w:tmpl w:val="4D623D1A"/>
    <w:lvl w:ilvl="0">
      <w:start w:val="1"/>
      <w:numFmt w:val="decimal"/>
      <w:lvlText w:val="%1)"/>
      <w:lvlJc w:val="left"/>
      <w:pPr>
        <w:ind w:left="0" w:firstLine="567"/>
      </w:pPr>
      <w:rPr>
        <w:rFonts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  <w:color w:val="auto"/>
      </w:rPr>
    </w:lvl>
    <w:lvl w:ilvl="3">
      <w:start w:val="1"/>
      <w:numFmt w:val="none"/>
      <w:suff w:val="space"/>
      <w:lvlText w:val="%4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3" w15:restartNumberingAfterBreak="0">
    <w:nsid w:val="5F8660C5"/>
    <w:multiLevelType w:val="multilevel"/>
    <w:tmpl w:val="BE6E1E8A"/>
    <w:lvl w:ilvl="0">
      <w:start w:val="1"/>
      <w:numFmt w:val="decimal"/>
      <w:lvlText w:val="%1)"/>
      <w:lvlJc w:val="left"/>
      <w:pPr>
        <w:ind w:left="0" w:firstLine="567"/>
      </w:pPr>
      <w:rPr>
        <w:rFonts w:hint="default"/>
        <w:b w:val="0"/>
        <w:bCs/>
        <w:i w:val="0"/>
      </w:rPr>
    </w:lvl>
    <w:lvl w:ilvl="1">
      <w:start w:val="1"/>
      <w:numFmt w:val="decimal"/>
      <w:suff w:val="space"/>
      <w:lvlText w:val="%2)"/>
      <w:lvlJc w:val="left"/>
      <w:pPr>
        <w:ind w:left="1" w:firstLine="567"/>
      </w:pPr>
      <w:rPr>
        <w:rFonts w:hint="default"/>
        <w:b w:val="0"/>
        <w:bCs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  <w:color w:val="auto"/>
      </w:rPr>
    </w:lvl>
    <w:lvl w:ilvl="3">
      <w:start w:val="1"/>
      <w:numFmt w:val="none"/>
      <w:suff w:val="space"/>
      <w:lvlText w:val="%4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4" w15:restartNumberingAfterBreak="0">
    <w:nsid w:val="5FDD6319"/>
    <w:multiLevelType w:val="multilevel"/>
    <w:tmpl w:val="3EEE7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62D84940"/>
    <w:multiLevelType w:val="hybridMultilevel"/>
    <w:tmpl w:val="A31E419A"/>
    <w:lvl w:ilvl="0" w:tplc="08180017">
      <w:start w:val="1"/>
      <w:numFmt w:val="lowerLetter"/>
      <w:lvlText w:val="%1)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A87F69"/>
    <w:multiLevelType w:val="hybridMultilevel"/>
    <w:tmpl w:val="25A208B2"/>
    <w:lvl w:ilvl="0" w:tplc="FFFFFFFF">
      <w:start w:val="1"/>
      <w:numFmt w:val="decimal"/>
      <w:suff w:val="space"/>
      <w:lvlText w:val="%1)"/>
      <w:lvlJc w:val="left"/>
      <w:pPr>
        <w:ind w:left="588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9033B0"/>
    <w:multiLevelType w:val="multilevel"/>
    <w:tmpl w:val="538EC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8" w15:restartNumberingAfterBreak="0">
    <w:nsid w:val="66006399"/>
    <w:multiLevelType w:val="hybridMultilevel"/>
    <w:tmpl w:val="0DB08D94"/>
    <w:lvl w:ilvl="0" w:tplc="9FA2932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13" w:hanging="360"/>
      </w:pPr>
    </w:lvl>
    <w:lvl w:ilvl="2" w:tplc="0818001B" w:tentative="1">
      <w:start w:val="1"/>
      <w:numFmt w:val="lowerRoman"/>
      <w:lvlText w:val="%3."/>
      <w:lvlJc w:val="right"/>
      <w:pPr>
        <w:ind w:left="2433" w:hanging="180"/>
      </w:pPr>
    </w:lvl>
    <w:lvl w:ilvl="3" w:tplc="0818000F" w:tentative="1">
      <w:start w:val="1"/>
      <w:numFmt w:val="decimal"/>
      <w:lvlText w:val="%4."/>
      <w:lvlJc w:val="left"/>
      <w:pPr>
        <w:ind w:left="3153" w:hanging="360"/>
      </w:pPr>
    </w:lvl>
    <w:lvl w:ilvl="4" w:tplc="08180019" w:tentative="1">
      <w:start w:val="1"/>
      <w:numFmt w:val="lowerLetter"/>
      <w:lvlText w:val="%5."/>
      <w:lvlJc w:val="left"/>
      <w:pPr>
        <w:ind w:left="3873" w:hanging="360"/>
      </w:pPr>
    </w:lvl>
    <w:lvl w:ilvl="5" w:tplc="0818001B" w:tentative="1">
      <w:start w:val="1"/>
      <w:numFmt w:val="lowerRoman"/>
      <w:lvlText w:val="%6."/>
      <w:lvlJc w:val="right"/>
      <w:pPr>
        <w:ind w:left="4593" w:hanging="180"/>
      </w:pPr>
    </w:lvl>
    <w:lvl w:ilvl="6" w:tplc="0818000F" w:tentative="1">
      <w:start w:val="1"/>
      <w:numFmt w:val="decimal"/>
      <w:lvlText w:val="%7."/>
      <w:lvlJc w:val="left"/>
      <w:pPr>
        <w:ind w:left="5313" w:hanging="360"/>
      </w:pPr>
    </w:lvl>
    <w:lvl w:ilvl="7" w:tplc="08180019" w:tentative="1">
      <w:start w:val="1"/>
      <w:numFmt w:val="lowerLetter"/>
      <w:lvlText w:val="%8."/>
      <w:lvlJc w:val="left"/>
      <w:pPr>
        <w:ind w:left="6033" w:hanging="360"/>
      </w:pPr>
    </w:lvl>
    <w:lvl w:ilvl="8" w:tplc="0818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9" w15:restartNumberingAfterBreak="0">
    <w:nsid w:val="67AF67B1"/>
    <w:multiLevelType w:val="multilevel"/>
    <w:tmpl w:val="27A44260"/>
    <w:lvl w:ilvl="0">
      <w:start w:val="2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A586EC3"/>
    <w:multiLevelType w:val="hybridMultilevel"/>
    <w:tmpl w:val="4E2A2BD8"/>
    <w:lvl w:ilvl="0" w:tplc="5CEAD55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3B2CE9"/>
    <w:multiLevelType w:val="hybridMultilevel"/>
    <w:tmpl w:val="E72AF090"/>
    <w:lvl w:ilvl="0" w:tplc="6B0AF772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DC6728"/>
    <w:multiLevelType w:val="multilevel"/>
    <w:tmpl w:val="FAD441DE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0A66858"/>
    <w:multiLevelType w:val="multilevel"/>
    <w:tmpl w:val="45B49F08"/>
    <w:lvl w:ilvl="0">
      <w:start w:val="4"/>
      <w:numFmt w:val="lowerLetter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16927BD"/>
    <w:multiLevelType w:val="multilevel"/>
    <w:tmpl w:val="993865A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99D4A1D"/>
    <w:multiLevelType w:val="multilevel"/>
    <w:tmpl w:val="D3EEE4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2076009249">
    <w:abstractNumId w:val="32"/>
  </w:num>
  <w:num w:numId="2" w16cid:durableId="181821358">
    <w:abstractNumId w:val="31"/>
  </w:num>
  <w:num w:numId="3" w16cid:durableId="783117545">
    <w:abstractNumId w:val="14"/>
  </w:num>
  <w:num w:numId="4" w16cid:durableId="514348740">
    <w:abstractNumId w:val="8"/>
  </w:num>
  <w:num w:numId="5" w16cid:durableId="1671786884">
    <w:abstractNumId w:val="27"/>
  </w:num>
  <w:num w:numId="6" w16cid:durableId="28650997">
    <w:abstractNumId w:val="18"/>
  </w:num>
  <w:num w:numId="7" w16cid:durableId="1159541712">
    <w:abstractNumId w:val="2"/>
  </w:num>
  <w:num w:numId="8" w16cid:durableId="799615820">
    <w:abstractNumId w:val="41"/>
  </w:num>
  <w:num w:numId="9" w16cid:durableId="66929423">
    <w:abstractNumId w:val="0"/>
  </w:num>
  <w:num w:numId="10" w16cid:durableId="1966346790">
    <w:abstractNumId w:val="4"/>
  </w:num>
  <w:num w:numId="11" w16cid:durableId="1693219185">
    <w:abstractNumId w:val="35"/>
  </w:num>
  <w:num w:numId="12" w16cid:durableId="1223641864">
    <w:abstractNumId w:val="25"/>
  </w:num>
  <w:num w:numId="13" w16cid:durableId="1862745067">
    <w:abstractNumId w:val="21"/>
  </w:num>
  <w:num w:numId="14" w16cid:durableId="1029333366">
    <w:abstractNumId w:val="12"/>
  </w:num>
  <w:num w:numId="15" w16cid:durableId="1682734463">
    <w:abstractNumId w:val="16"/>
  </w:num>
  <w:num w:numId="16" w16cid:durableId="121463714">
    <w:abstractNumId w:val="11"/>
  </w:num>
  <w:num w:numId="17" w16cid:durableId="1544555724">
    <w:abstractNumId w:val="5"/>
  </w:num>
  <w:num w:numId="18" w16cid:durableId="854458967">
    <w:abstractNumId w:val="15"/>
  </w:num>
  <w:num w:numId="19" w16cid:durableId="1772971820">
    <w:abstractNumId w:val="30"/>
  </w:num>
  <w:num w:numId="20" w16cid:durableId="509032593">
    <w:abstractNumId w:val="1"/>
  </w:num>
  <w:num w:numId="21" w16cid:durableId="536938377">
    <w:abstractNumId w:val="19"/>
  </w:num>
  <w:num w:numId="22" w16cid:durableId="187107691">
    <w:abstractNumId w:val="10"/>
  </w:num>
  <w:num w:numId="23" w16cid:durableId="839009150">
    <w:abstractNumId w:val="7"/>
  </w:num>
  <w:num w:numId="24" w16cid:durableId="1657370092">
    <w:abstractNumId w:val="40"/>
  </w:num>
  <w:num w:numId="25" w16cid:durableId="1440102503">
    <w:abstractNumId w:val="44"/>
  </w:num>
  <w:num w:numId="26" w16cid:durableId="1596591845">
    <w:abstractNumId w:val="23"/>
  </w:num>
  <w:num w:numId="27" w16cid:durableId="441726751">
    <w:abstractNumId w:val="33"/>
  </w:num>
  <w:num w:numId="28" w16cid:durableId="1432697763">
    <w:abstractNumId w:val="38"/>
  </w:num>
  <w:num w:numId="29" w16cid:durableId="655303622">
    <w:abstractNumId w:val="20"/>
  </w:num>
  <w:num w:numId="30" w16cid:durableId="604728965">
    <w:abstractNumId w:val="36"/>
  </w:num>
  <w:num w:numId="31" w16cid:durableId="416827639">
    <w:abstractNumId w:val="22"/>
  </w:num>
  <w:num w:numId="32" w16cid:durableId="749622091">
    <w:abstractNumId w:val="29"/>
  </w:num>
  <w:num w:numId="33" w16cid:durableId="1150318655">
    <w:abstractNumId w:val="43"/>
  </w:num>
  <w:num w:numId="34" w16cid:durableId="1184317561">
    <w:abstractNumId w:val="42"/>
  </w:num>
  <w:num w:numId="35" w16cid:durableId="1481965720">
    <w:abstractNumId w:val="39"/>
  </w:num>
  <w:num w:numId="36" w16cid:durableId="1845626494">
    <w:abstractNumId w:val="9"/>
  </w:num>
  <w:num w:numId="37" w16cid:durableId="1254780197">
    <w:abstractNumId w:val="28"/>
  </w:num>
  <w:num w:numId="38" w16cid:durableId="1623729784">
    <w:abstractNumId w:val="37"/>
  </w:num>
  <w:num w:numId="39" w16cid:durableId="155346358">
    <w:abstractNumId w:val="13"/>
  </w:num>
  <w:num w:numId="40" w16cid:durableId="1081216317">
    <w:abstractNumId w:val="3"/>
  </w:num>
  <w:num w:numId="41" w16cid:durableId="1007250991">
    <w:abstractNumId w:val="26"/>
  </w:num>
  <w:num w:numId="42" w16cid:durableId="222834417">
    <w:abstractNumId w:val="17"/>
  </w:num>
  <w:num w:numId="43" w16cid:durableId="1125543929">
    <w:abstractNumId w:val="34"/>
  </w:num>
  <w:num w:numId="44" w16cid:durableId="1288121315">
    <w:abstractNumId w:val="6"/>
  </w:num>
  <w:num w:numId="45" w16cid:durableId="654457029">
    <w:abstractNumId w:val="24"/>
  </w:num>
  <w:num w:numId="46" w16cid:durableId="116878509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trackRevisions/>
  <w:defaultTabStop w:val="0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CA7"/>
    <w:rsid w:val="00002A08"/>
    <w:rsid w:val="00002BF6"/>
    <w:rsid w:val="00005227"/>
    <w:rsid w:val="00006CEA"/>
    <w:rsid w:val="00007687"/>
    <w:rsid w:val="00007D01"/>
    <w:rsid w:val="00010B0A"/>
    <w:rsid w:val="00015E29"/>
    <w:rsid w:val="00016222"/>
    <w:rsid w:val="00020224"/>
    <w:rsid w:val="00020288"/>
    <w:rsid w:val="00020911"/>
    <w:rsid w:val="0002287D"/>
    <w:rsid w:val="00023679"/>
    <w:rsid w:val="00023703"/>
    <w:rsid w:val="00025D29"/>
    <w:rsid w:val="00026077"/>
    <w:rsid w:val="000260BF"/>
    <w:rsid w:val="000265B3"/>
    <w:rsid w:val="000273CF"/>
    <w:rsid w:val="00031A05"/>
    <w:rsid w:val="00034DE5"/>
    <w:rsid w:val="00035068"/>
    <w:rsid w:val="00037B4C"/>
    <w:rsid w:val="00040D6D"/>
    <w:rsid w:val="00043118"/>
    <w:rsid w:val="000434A1"/>
    <w:rsid w:val="00043EC1"/>
    <w:rsid w:val="00044A12"/>
    <w:rsid w:val="000452D7"/>
    <w:rsid w:val="00045357"/>
    <w:rsid w:val="00045523"/>
    <w:rsid w:val="000457AD"/>
    <w:rsid w:val="00047DE0"/>
    <w:rsid w:val="000506C7"/>
    <w:rsid w:val="0005313E"/>
    <w:rsid w:val="000553A5"/>
    <w:rsid w:val="00056620"/>
    <w:rsid w:val="00061919"/>
    <w:rsid w:val="00061E03"/>
    <w:rsid w:val="000623ED"/>
    <w:rsid w:val="00067E87"/>
    <w:rsid w:val="000701DA"/>
    <w:rsid w:val="00070227"/>
    <w:rsid w:val="00070847"/>
    <w:rsid w:val="00073A62"/>
    <w:rsid w:val="00074BF2"/>
    <w:rsid w:val="00080F05"/>
    <w:rsid w:val="000847BA"/>
    <w:rsid w:val="00084B4B"/>
    <w:rsid w:val="00084E84"/>
    <w:rsid w:val="00084F90"/>
    <w:rsid w:val="000854D9"/>
    <w:rsid w:val="00085B7C"/>
    <w:rsid w:val="000865A7"/>
    <w:rsid w:val="00090569"/>
    <w:rsid w:val="000907B5"/>
    <w:rsid w:val="000918F4"/>
    <w:rsid w:val="00092889"/>
    <w:rsid w:val="00093BBB"/>
    <w:rsid w:val="0009587C"/>
    <w:rsid w:val="00096099"/>
    <w:rsid w:val="00096745"/>
    <w:rsid w:val="000979FA"/>
    <w:rsid w:val="000A105B"/>
    <w:rsid w:val="000A31B7"/>
    <w:rsid w:val="000A5AC4"/>
    <w:rsid w:val="000A5B63"/>
    <w:rsid w:val="000A7112"/>
    <w:rsid w:val="000B19F2"/>
    <w:rsid w:val="000B4080"/>
    <w:rsid w:val="000B4F02"/>
    <w:rsid w:val="000B6485"/>
    <w:rsid w:val="000C0B98"/>
    <w:rsid w:val="000C2BF9"/>
    <w:rsid w:val="000C425A"/>
    <w:rsid w:val="000C55A3"/>
    <w:rsid w:val="000C5BD9"/>
    <w:rsid w:val="000C6C24"/>
    <w:rsid w:val="000C7112"/>
    <w:rsid w:val="000D089D"/>
    <w:rsid w:val="000D0F04"/>
    <w:rsid w:val="000D15A6"/>
    <w:rsid w:val="000D2520"/>
    <w:rsid w:val="000D30C7"/>
    <w:rsid w:val="000D48D9"/>
    <w:rsid w:val="000D49CF"/>
    <w:rsid w:val="000D4E19"/>
    <w:rsid w:val="000D55C0"/>
    <w:rsid w:val="000D572A"/>
    <w:rsid w:val="000D5DDA"/>
    <w:rsid w:val="000D70E1"/>
    <w:rsid w:val="000D748F"/>
    <w:rsid w:val="000E04E1"/>
    <w:rsid w:val="000E0F34"/>
    <w:rsid w:val="000E1392"/>
    <w:rsid w:val="000E3F96"/>
    <w:rsid w:val="000E41FA"/>
    <w:rsid w:val="000E4BDE"/>
    <w:rsid w:val="000E4CC9"/>
    <w:rsid w:val="000E5694"/>
    <w:rsid w:val="000E79B5"/>
    <w:rsid w:val="000F26A5"/>
    <w:rsid w:val="000F477E"/>
    <w:rsid w:val="000F52BD"/>
    <w:rsid w:val="0010011D"/>
    <w:rsid w:val="00101826"/>
    <w:rsid w:val="0010352C"/>
    <w:rsid w:val="00104E62"/>
    <w:rsid w:val="00105F80"/>
    <w:rsid w:val="00106E69"/>
    <w:rsid w:val="00112048"/>
    <w:rsid w:val="0011378D"/>
    <w:rsid w:val="00114CE0"/>
    <w:rsid w:val="00115009"/>
    <w:rsid w:val="00121A98"/>
    <w:rsid w:val="001263CB"/>
    <w:rsid w:val="001268D3"/>
    <w:rsid w:val="001279CA"/>
    <w:rsid w:val="0013358B"/>
    <w:rsid w:val="00133BBB"/>
    <w:rsid w:val="00133CAB"/>
    <w:rsid w:val="00133FF0"/>
    <w:rsid w:val="001346BD"/>
    <w:rsid w:val="00134EC9"/>
    <w:rsid w:val="00134F45"/>
    <w:rsid w:val="00136BCF"/>
    <w:rsid w:val="00137151"/>
    <w:rsid w:val="001429C4"/>
    <w:rsid w:val="00146DF9"/>
    <w:rsid w:val="00150D70"/>
    <w:rsid w:val="00150F84"/>
    <w:rsid w:val="00151D55"/>
    <w:rsid w:val="00155B0D"/>
    <w:rsid w:val="00156D9D"/>
    <w:rsid w:val="001570E5"/>
    <w:rsid w:val="0015751E"/>
    <w:rsid w:val="001616A9"/>
    <w:rsid w:val="00161EDC"/>
    <w:rsid w:val="00162DDB"/>
    <w:rsid w:val="00163A29"/>
    <w:rsid w:val="00163D16"/>
    <w:rsid w:val="001641E1"/>
    <w:rsid w:val="00164893"/>
    <w:rsid w:val="001651D3"/>
    <w:rsid w:val="00165380"/>
    <w:rsid w:val="00166B63"/>
    <w:rsid w:val="001674FA"/>
    <w:rsid w:val="00167733"/>
    <w:rsid w:val="0017068A"/>
    <w:rsid w:val="001725C8"/>
    <w:rsid w:val="001729AC"/>
    <w:rsid w:val="00173314"/>
    <w:rsid w:val="001739C8"/>
    <w:rsid w:val="00174B34"/>
    <w:rsid w:val="001755CB"/>
    <w:rsid w:val="001760C9"/>
    <w:rsid w:val="001778CD"/>
    <w:rsid w:val="00177AF0"/>
    <w:rsid w:val="00181329"/>
    <w:rsid w:val="001835BF"/>
    <w:rsid w:val="0018362A"/>
    <w:rsid w:val="00183D10"/>
    <w:rsid w:val="00184EED"/>
    <w:rsid w:val="00187473"/>
    <w:rsid w:val="001874F9"/>
    <w:rsid w:val="00190B11"/>
    <w:rsid w:val="0019184B"/>
    <w:rsid w:val="001943D7"/>
    <w:rsid w:val="001949D3"/>
    <w:rsid w:val="00195D9F"/>
    <w:rsid w:val="001974CF"/>
    <w:rsid w:val="001975C1"/>
    <w:rsid w:val="001A009E"/>
    <w:rsid w:val="001A049D"/>
    <w:rsid w:val="001A28DB"/>
    <w:rsid w:val="001A46ED"/>
    <w:rsid w:val="001A6F17"/>
    <w:rsid w:val="001B0EE0"/>
    <w:rsid w:val="001B4976"/>
    <w:rsid w:val="001B59CA"/>
    <w:rsid w:val="001B63E1"/>
    <w:rsid w:val="001B7761"/>
    <w:rsid w:val="001C0D31"/>
    <w:rsid w:val="001C0D5A"/>
    <w:rsid w:val="001C1BB5"/>
    <w:rsid w:val="001C212A"/>
    <w:rsid w:val="001C4C81"/>
    <w:rsid w:val="001C61F0"/>
    <w:rsid w:val="001C6D3E"/>
    <w:rsid w:val="001C7492"/>
    <w:rsid w:val="001D1456"/>
    <w:rsid w:val="001D5B04"/>
    <w:rsid w:val="001D5DA2"/>
    <w:rsid w:val="001E1766"/>
    <w:rsid w:val="001E2A65"/>
    <w:rsid w:val="001E3EA1"/>
    <w:rsid w:val="001E5C7D"/>
    <w:rsid w:val="001E6801"/>
    <w:rsid w:val="001E7A66"/>
    <w:rsid w:val="001E7B3F"/>
    <w:rsid w:val="001E7E2E"/>
    <w:rsid w:val="001F10C9"/>
    <w:rsid w:val="001F14C1"/>
    <w:rsid w:val="001F1593"/>
    <w:rsid w:val="001F1716"/>
    <w:rsid w:val="001F2409"/>
    <w:rsid w:val="001F2809"/>
    <w:rsid w:val="001F2F2D"/>
    <w:rsid w:val="001F406B"/>
    <w:rsid w:val="001F47E4"/>
    <w:rsid w:val="001F589E"/>
    <w:rsid w:val="001F5DDB"/>
    <w:rsid w:val="001F652C"/>
    <w:rsid w:val="001F6729"/>
    <w:rsid w:val="0020011D"/>
    <w:rsid w:val="00200A3E"/>
    <w:rsid w:val="002010A1"/>
    <w:rsid w:val="00202B0D"/>
    <w:rsid w:val="00205CD1"/>
    <w:rsid w:val="00207D53"/>
    <w:rsid w:val="00207F90"/>
    <w:rsid w:val="002104C4"/>
    <w:rsid w:val="0021161B"/>
    <w:rsid w:val="00212103"/>
    <w:rsid w:val="0021341C"/>
    <w:rsid w:val="00214F87"/>
    <w:rsid w:val="0021541A"/>
    <w:rsid w:val="00215846"/>
    <w:rsid w:val="00215D9F"/>
    <w:rsid w:val="00216177"/>
    <w:rsid w:val="00222099"/>
    <w:rsid w:val="00222250"/>
    <w:rsid w:val="002231B7"/>
    <w:rsid w:val="00223C00"/>
    <w:rsid w:val="002249E0"/>
    <w:rsid w:val="002269BC"/>
    <w:rsid w:val="00226D75"/>
    <w:rsid w:val="00226F83"/>
    <w:rsid w:val="00232552"/>
    <w:rsid w:val="0023258E"/>
    <w:rsid w:val="0023322E"/>
    <w:rsid w:val="002335AA"/>
    <w:rsid w:val="00234E4A"/>
    <w:rsid w:val="00235008"/>
    <w:rsid w:val="0023515F"/>
    <w:rsid w:val="00240D29"/>
    <w:rsid w:val="00240F2D"/>
    <w:rsid w:val="0024172F"/>
    <w:rsid w:val="00241806"/>
    <w:rsid w:val="00241A10"/>
    <w:rsid w:val="00241D25"/>
    <w:rsid w:val="0024414C"/>
    <w:rsid w:val="00244AE4"/>
    <w:rsid w:val="00245304"/>
    <w:rsid w:val="0025209E"/>
    <w:rsid w:val="002532DE"/>
    <w:rsid w:val="00253950"/>
    <w:rsid w:val="00253C16"/>
    <w:rsid w:val="00256CDB"/>
    <w:rsid w:val="002603C3"/>
    <w:rsid w:val="00260411"/>
    <w:rsid w:val="002604CF"/>
    <w:rsid w:val="00262265"/>
    <w:rsid w:val="00262D04"/>
    <w:rsid w:val="00263603"/>
    <w:rsid w:val="00263A5F"/>
    <w:rsid w:val="0026431F"/>
    <w:rsid w:val="00264850"/>
    <w:rsid w:val="00264D56"/>
    <w:rsid w:val="0026527B"/>
    <w:rsid w:val="00267141"/>
    <w:rsid w:val="00270752"/>
    <w:rsid w:val="00270FF6"/>
    <w:rsid w:val="00272ABC"/>
    <w:rsid w:val="002751A6"/>
    <w:rsid w:val="00275C19"/>
    <w:rsid w:val="0027766D"/>
    <w:rsid w:val="00277ED5"/>
    <w:rsid w:val="00280B25"/>
    <w:rsid w:val="00281902"/>
    <w:rsid w:val="002822A2"/>
    <w:rsid w:val="00283242"/>
    <w:rsid w:val="0028615C"/>
    <w:rsid w:val="002864F6"/>
    <w:rsid w:val="00287154"/>
    <w:rsid w:val="00287B12"/>
    <w:rsid w:val="00287CB1"/>
    <w:rsid w:val="0029000D"/>
    <w:rsid w:val="002939B6"/>
    <w:rsid w:val="0029461E"/>
    <w:rsid w:val="0029485E"/>
    <w:rsid w:val="0029576B"/>
    <w:rsid w:val="0029662E"/>
    <w:rsid w:val="002A0A80"/>
    <w:rsid w:val="002A1293"/>
    <w:rsid w:val="002A13F2"/>
    <w:rsid w:val="002A191F"/>
    <w:rsid w:val="002A1A2A"/>
    <w:rsid w:val="002A2AB5"/>
    <w:rsid w:val="002A2F3B"/>
    <w:rsid w:val="002A3176"/>
    <w:rsid w:val="002A4044"/>
    <w:rsid w:val="002A77B9"/>
    <w:rsid w:val="002B04D0"/>
    <w:rsid w:val="002B0D37"/>
    <w:rsid w:val="002B11B9"/>
    <w:rsid w:val="002B4D73"/>
    <w:rsid w:val="002B4F86"/>
    <w:rsid w:val="002B51C3"/>
    <w:rsid w:val="002B57EE"/>
    <w:rsid w:val="002B6057"/>
    <w:rsid w:val="002B6433"/>
    <w:rsid w:val="002B78CF"/>
    <w:rsid w:val="002C0B76"/>
    <w:rsid w:val="002C1ADF"/>
    <w:rsid w:val="002C4062"/>
    <w:rsid w:val="002C4342"/>
    <w:rsid w:val="002C6D43"/>
    <w:rsid w:val="002C7485"/>
    <w:rsid w:val="002C794C"/>
    <w:rsid w:val="002D00C7"/>
    <w:rsid w:val="002D051C"/>
    <w:rsid w:val="002D1616"/>
    <w:rsid w:val="002D16B7"/>
    <w:rsid w:val="002D1848"/>
    <w:rsid w:val="002D18E4"/>
    <w:rsid w:val="002D1FAE"/>
    <w:rsid w:val="002D24CA"/>
    <w:rsid w:val="002D29D9"/>
    <w:rsid w:val="002D2D8E"/>
    <w:rsid w:val="002D39E3"/>
    <w:rsid w:val="002D5089"/>
    <w:rsid w:val="002D693C"/>
    <w:rsid w:val="002D6C54"/>
    <w:rsid w:val="002E03B2"/>
    <w:rsid w:val="002E07DD"/>
    <w:rsid w:val="002E0FC3"/>
    <w:rsid w:val="002E491E"/>
    <w:rsid w:val="002E4D7B"/>
    <w:rsid w:val="002E553E"/>
    <w:rsid w:val="002E5BF8"/>
    <w:rsid w:val="002E6AF8"/>
    <w:rsid w:val="002F0FFB"/>
    <w:rsid w:val="002F2100"/>
    <w:rsid w:val="002F2176"/>
    <w:rsid w:val="002F26BB"/>
    <w:rsid w:val="002F2840"/>
    <w:rsid w:val="002F4010"/>
    <w:rsid w:val="002F53F1"/>
    <w:rsid w:val="002F54D6"/>
    <w:rsid w:val="00301373"/>
    <w:rsid w:val="00301C23"/>
    <w:rsid w:val="0030263C"/>
    <w:rsid w:val="00303AC9"/>
    <w:rsid w:val="00304EE0"/>
    <w:rsid w:val="0030562E"/>
    <w:rsid w:val="00306F16"/>
    <w:rsid w:val="003070EB"/>
    <w:rsid w:val="0030747C"/>
    <w:rsid w:val="00307616"/>
    <w:rsid w:val="00307D22"/>
    <w:rsid w:val="003101CE"/>
    <w:rsid w:val="003107BB"/>
    <w:rsid w:val="00311CF6"/>
    <w:rsid w:val="0031525F"/>
    <w:rsid w:val="00317159"/>
    <w:rsid w:val="0032033B"/>
    <w:rsid w:val="00320CB9"/>
    <w:rsid w:val="003256F2"/>
    <w:rsid w:val="00325BD9"/>
    <w:rsid w:val="00327E91"/>
    <w:rsid w:val="00327F88"/>
    <w:rsid w:val="00330169"/>
    <w:rsid w:val="00331029"/>
    <w:rsid w:val="0033104F"/>
    <w:rsid w:val="00332018"/>
    <w:rsid w:val="00332042"/>
    <w:rsid w:val="00333CBF"/>
    <w:rsid w:val="00335D3A"/>
    <w:rsid w:val="003374A2"/>
    <w:rsid w:val="00337BED"/>
    <w:rsid w:val="00337F4A"/>
    <w:rsid w:val="003405DE"/>
    <w:rsid w:val="003426DA"/>
    <w:rsid w:val="00343DC9"/>
    <w:rsid w:val="00343DCD"/>
    <w:rsid w:val="003440BD"/>
    <w:rsid w:val="003444EC"/>
    <w:rsid w:val="003459FC"/>
    <w:rsid w:val="00345E19"/>
    <w:rsid w:val="003466DD"/>
    <w:rsid w:val="00346F4B"/>
    <w:rsid w:val="003513AA"/>
    <w:rsid w:val="00351E2D"/>
    <w:rsid w:val="00352737"/>
    <w:rsid w:val="00353382"/>
    <w:rsid w:val="00353518"/>
    <w:rsid w:val="00353BD4"/>
    <w:rsid w:val="00356EC9"/>
    <w:rsid w:val="00357167"/>
    <w:rsid w:val="00357320"/>
    <w:rsid w:val="00357CB3"/>
    <w:rsid w:val="00360A62"/>
    <w:rsid w:val="00361B8F"/>
    <w:rsid w:val="00361FF3"/>
    <w:rsid w:val="00363577"/>
    <w:rsid w:val="00367CDE"/>
    <w:rsid w:val="00370980"/>
    <w:rsid w:val="003756DB"/>
    <w:rsid w:val="00375AC1"/>
    <w:rsid w:val="00376A45"/>
    <w:rsid w:val="0037789D"/>
    <w:rsid w:val="003813F3"/>
    <w:rsid w:val="00382A46"/>
    <w:rsid w:val="00382D30"/>
    <w:rsid w:val="00383C4B"/>
    <w:rsid w:val="003846F4"/>
    <w:rsid w:val="003863F6"/>
    <w:rsid w:val="00386806"/>
    <w:rsid w:val="00386AFB"/>
    <w:rsid w:val="00386C75"/>
    <w:rsid w:val="003879F0"/>
    <w:rsid w:val="00390929"/>
    <w:rsid w:val="00391CC2"/>
    <w:rsid w:val="00392C4C"/>
    <w:rsid w:val="00393F9A"/>
    <w:rsid w:val="0039602B"/>
    <w:rsid w:val="00397586"/>
    <w:rsid w:val="003A00F2"/>
    <w:rsid w:val="003A1827"/>
    <w:rsid w:val="003A1BAE"/>
    <w:rsid w:val="003A34AF"/>
    <w:rsid w:val="003A393D"/>
    <w:rsid w:val="003A673E"/>
    <w:rsid w:val="003A6C5C"/>
    <w:rsid w:val="003A7417"/>
    <w:rsid w:val="003A7E3A"/>
    <w:rsid w:val="003B4C08"/>
    <w:rsid w:val="003B4D5A"/>
    <w:rsid w:val="003B4E41"/>
    <w:rsid w:val="003B4FDC"/>
    <w:rsid w:val="003B51D5"/>
    <w:rsid w:val="003B7A5A"/>
    <w:rsid w:val="003B7ADD"/>
    <w:rsid w:val="003B7B07"/>
    <w:rsid w:val="003C0528"/>
    <w:rsid w:val="003C06DE"/>
    <w:rsid w:val="003C0AF9"/>
    <w:rsid w:val="003C1A34"/>
    <w:rsid w:val="003C4BF6"/>
    <w:rsid w:val="003C4CC9"/>
    <w:rsid w:val="003C54CC"/>
    <w:rsid w:val="003C6374"/>
    <w:rsid w:val="003C67B6"/>
    <w:rsid w:val="003C695D"/>
    <w:rsid w:val="003D23F5"/>
    <w:rsid w:val="003D2C4C"/>
    <w:rsid w:val="003D527A"/>
    <w:rsid w:val="003D534A"/>
    <w:rsid w:val="003E00C9"/>
    <w:rsid w:val="003E0347"/>
    <w:rsid w:val="003E1927"/>
    <w:rsid w:val="003E1BAB"/>
    <w:rsid w:val="003E6380"/>
    <w:rsid w:val="003E6A88"/>
    <w:rsid w:val="003E7C71"/>
    <w:rsid w:val="003E7ECE"/>
    <w:rsid w:val="003F01D8"/>
    <w:rsid w:val="003F1705"/>
    <w:rsid w:val="003F22D4"/>
    <w:rsid w:val="003F31A5"/>
    <w:rsid w:val="003F4181"/>
    <w:rsid w:val="003F4555"/>
    <w:rsid w:val="003F5A26"/>
    <w:rsid w:val="003F5F46"/>
    <w:rsid w:val="003F74AD"/>
    <w:rsid w:val="003F79AB"/>
    <w:rsid w:val="003F7C4F"/>
    <w:rsid w:val="0040029A"/>
    <w:rsid w:val="004004F8"/>
    <w:rsid w:val="004006B1"/>
    <w:rsid w:val="00400D8B"/>
    <w:rsid w:val="0040167E"/>
    <w:rsid w:val="00401921"/>
    <w:rsid w:val="00402F2D"/>
    <w:rsid w:val="0040388E"/>
    <w:rsid w:val="0040434F"/>
    <w:rsid w:val="00405D28"/>
    <w:rsid w:val="004078AE"/>
    <w:rsid w:val="0041078D"/>
    <w:rsid w:val="0041096A"/>
    <w:rsid w:val="004135FA"/>
    <w:rsid w:val="00413904"/>
    <w:rsid w:val="004151E5"/>
    <w:rsid w:val="0041572A"/>
    <w:rsid w:val="004157F8"/>
    <w:rsid w:val="00415C5A"/>
    <w:rsid w:val="00415FC6"/>
    <w:rsid w:val="00416F81"/>
    <w:rsid w:val="00421AAE"/>
    <w:rsid w:val="00422D3D"/>
    <w:rsid w:val="00425424"/>
    <w:rsid w:val="00427689"/>
    <w:rsid w:val="00430882"/>
    <w:rsid w:val="004331F3"/>
    <w:rsid w:val="004344C5"/>
    <w:rsid w:val="00435A18"/>
    <w:rsid w:val="0044021E"/>
    <w:rsid w:val="00441066"/>
    <w:rsid w:val="00441802"/>
    <w:rsid w:val="004423A0"/>
    <w:rsid w:val="004423B1"/>
    <w:rsid w:val="0044354A"/>
    <w:rsid w:val="00444DB2"/>
    <w:rsid w:val="00444DC0"/>
    <w:rsid w:val="00444E0A"/>
    <w:rsid w:val="00447C01"/>
    <w:rsid w:val="00451150"/>
    <w:rsid w:val="004512C9"/>
    <w:rsid w:val="00451749"/>
    <w:rsid w:val="00451AEE"/>
    <w:rsid w:val="004542C1"/>
    <w:rsid w:val="004545B7"/>
    <w:rsid w:val="00454EF5"/>
    <w:rsid w:val="004566C7"/>
    <w:rsid w:val="004606B3"/>
    <w:rsid w:val="0046124E"/>
    <w:rsid w:val="00461B27"/>
    <w:rsid w:val="004637FE"/>
    <w:rsid w:val="00464619"/>
    <w:rsid w:val="00464D4B"/>
    <w:rsid w:val="0047098B"/>
    <w:rsid w:val="00470C7F"/>
    <w:rsid w:val="00471637"/>
    <w:rsid w:val="004734C5"/>
    <w:rsid w:val="0047384B"/>
    <w:rsid w:val="00473C69"/>
    <w:rsid w:val="00474D74"/>
    <w:rsid w:val="00475276"/>
    <w:rsid w:val="004759FC"/>
    <w:rsid w:val="004769FF"/>
    <w:rsid w:val="004773A6"/>
    <w:rsid w:val="004776D8"/>
    <w:rsid w:val="00477B30"/>
    <w:rsid w:val="00480976"/>
    <w:rsid w:val="00480F2B"/>
    <w:rsid w:val="004810DA"/>
    <w:rsid w:val="00483359"/>
    <w:rsid w:val="004856E9"/>
    <w:rsid w:val="004858C4"/>
    <w:rsid w:val="00486C10"/>
    <w:rsid w:val="0049028E"/>
    <w:rsid w:val="00490A09"/>
    <w:rsid w:val="004911A0"/>
    <w:rsid w:val="00491EE7"/>
    <w:rsid w:val="00492D69"/>
    <w:rsid w:val="0049547D"/>
    <w:rsid w:val="004A0271"/>
    <w:rsid w:val="004A04CC"/>
    <w:rsid w:val="004A2AB2"/>
    <w:rsid w:val="004A317B"/>
    <w:rsid w:val="004A4B95"/>
    <w:rsid w:val="004A62B9"/>
    <w:rsid w:val="004B0036"/>
    <w:rsid w:val="004B0E25"/>
    <w:rsid w:val="004B124C"/>
    <w:rsid w:val="004B136B"/>
    <w:rsid w:val="004B26E7"/>
    <w:rsid w:val="004B2EDA"/>
    <w:rsid w:val="004B5C0E"/>
    <w:rsid w:val="004B60DF"/>
    <w:rsid w:val="004B6546"/>
    <w:rsid w:val="004B69D5"/>
    <w:rsid w:val="004C01DC"/>
    <w:rsid w:val="004C05B2"/>
    <w:rsid w:val="004C1B0F"/>
    <w:rsid w:val="004C1DB2"/>
    <w:rsid w:val="004C3897"/>
    <w:rsid w:val="004C3931"/>
    <w:rsid w:val="004C4F28"/>
    <w:rsid w:val="004C546F"/>
    <w:rsid w:val="004C7337"/>
    <w:rsid w:val="004C788B"/>
    <w:rsid w:val="004C7F78"/>
    <w:rsid w:val="004D3422"/>
    <w:rsid w:val="004D41D0"/>
    <w:rsid w:val="004D7146"/>
    <w:rsid w:val="004D7E7C"/>
    <w:rsid w:val="004E1413"/>
    <w:rsid w:val="004E1BA5"/>
    <w:rsid w:val="004E207E"/>
    <w:rsid w:val="004E31E6"/>
    <w:rsid w:val="004E3411"/>
    <w:rsid w:val="004E42D8"/>
    <w:rsid w:val="004E433C"/>
    <w:rsid w:val="004E6720"/>
    <w:rsid w:val="004F0A9A"/>
    <w:rsid w:val="004F0EAE"/>
    <w:rsid w:val="004F330B"/>
    <w:rsid w:val="004F4BA0"/>
    <w:rsid w:val="004F785B"/>
    <w:rsid w:val="004F7C75"/>
    <w:rsid w:val="004F7EC4"/>
    <w:rsid w:val="00500194"/>
    <w:rsid w:val="00500247"/>
    <w:rsid w:val="005011D6"/>
    <w:rsid w:val="00505AA3"/>
    <w:rsid w:val="00505D5A"/>
    <w:rsid w:val="005074C8"/>
    <w:rsid w:val="00510540"/>
    <w:rsid w:val="005113D5"/>
    <w:rsid w:val="0051195A"/>
    <w:rsid w:val="0051285F"/>
    <w:rsid w:val="005133CC"/>
    <w:rsid w:val="005142C5"/>
    <w:rsid w:val="00515019"/>
    <w:rsid w:val="005153CF"/>
    <w:rsid w:val="00515B86"/>
    <w:rsid w:val="0051607C"/>
    <w:rsid w:val="00517D99"/>
    <w:rsid w:val="00520A30"/>
    <w:rsid w:val="00521D0A"/>
    <w:rsid w:val="0052242A"/>
    <w:rsid w:val="005239F6"/>
    <w:rsid w:val="00524344"/>
    <w:rsid w:val="0052523C"/>
    <w:rsid w:val="0052530D"/>
    <w:rsid w:val="00525852"/>
    <w:rsid w:val="00526208"/>
    <w:rsid w:val="0052769A"/>
    <w:rsid w:val="00530824"/>
    <w:rsid w:val="00530D1A"/>
    <w:rsid w:val="00530DE3"/>
    <w:rsid w:val="00531032"/>
    <w:rsid w:val="0053107C"/>
    <w:rsid w:val="00532498"/>
    <w:rsid w:val="00532BD9"/>
    <w:rsid w:val="00532CD7"/>
    <w:rsid w:val="005339EA"/>
    <w:rsid w:val="00534284"/>
    <w:rsid w:val="005365C4"/>
    <w:rsid w:val="00536D78"/>
    <w:rsid w:val="00537102"/>
    <w:rsid w:val="005414FA"/>
    <w:rsid w:val="0054169B"/>
    <w:rsid w:val="00541856"/>
    <w:rsid w:val="00541ABF"/>
    <w:rsid w:val="00542C8F"/>
    <w:rsid w:val="00543F17"/>
    <w:rsid w:val="00543F5E"/>
    <w:rsid w:val="00545A56"/>
    <w:rsid w:val="00546EB7"/>
    <w:rsid w:val="00547D7A"/>
    <w:rsid w:val="00551518"/>
    <w:rsid w:val="00551DCE"/>
    <w:rsid w:val="00553253"/>
    <w:rsid w:val="00556DEF"/>
    <w:rsid w:val="005574A3"/>
    <w:rsid w:val="00560144"/>
    <w:rsid w:val="00561574"/>
    <w:rsid w:val="00561C39"/>
    <w:rsid w:val="00563368"/>
    <w:rsid w:val="00564821"/>
    <w:rsid w:val="00565A3A"/>
    <w:rsid w:val="00565E7C"/>
    <w:rsid w:val="00566D45"/>
    <w:rsid w:val="00567971"/>
    <w:rsid w:val="00571B88"/>
    <w:rsid w:val="005732BF"/>
    <w:rsid w:val="005746D1"/>
    <w:rsid w:val="00577896"/>
    <w:rsid w:val="00577A2C"/>
    <w:rsid w:val="005815E5"/>
    <w:rsid w:val="00583DE6"/>
    <w:rsid w:val="005856EE"/>
    <w:rsid w:val="00586EDE"/>
    <w:rsid w:val="005923CB"/>
    <w:rsid w:val="0059498D"/>
    <w:rsid w:val="0059784E"/>
    <w:rsid w:val="00597BBD"/>
    <w:rsid w:val="005A1FA1"/>
    <w:rsid w:val="005A2EE9"/>
    <w:rsid w:val="005A30BB"/>
    <w:rsid w:val="005A38E8"/>
    <w:rsid w:val="005A4118"/>
    <w:rsid w:val="005A4150"/>
    <w:rsid w:val="005A58E1"/>
    <w:rsid w:val="005A5CE4"/>
    <w:rsid w:val="005B2996"/>
    <w:rsid w:val="005B466A"/>
    <w:rsid w:val="005B6694"/>
    <w:rsid w:val="005B7103"/>
    <w:rsid w:val="005B7E0F"/>
    <w:rsid w:val="005C2279"/>
    <w:rsid w:val="005C28F9"/>
    <w:rsid w:val="005C31C2"/>
    <w:rsid w:val="005C57B8"/>
    <w:rsid w:val="005C639E"/>
    <w:rsid w:val="005C7162"/>
    <w:rsid w:val="005D12D0"/>
    <w:rsid w:val="005D213A"/>
    <w:rsid w:val="005D2F80"/>
    <w:rsid w:val="005D307E"/>
    <w:rsid w:val="005D5D4F"/>
    <w:rsid w:val="005D690D"/>
    <w:rsid w:val="005E0155"/>
    <w:rsid w:val="005E1519"/>
    <w:rsid w:val="005E2767"/>
    <w:rsid w:val="005E2EF9"/>
    <w:rsid w:val="005E3100"/>
    <w:rsid w:val="005E3881"/>
    <w:rsid w:val="005E5085"/>
    <w:rsid w:val="005E5410"/>
    <w:rsid w:val="005E6016"/>
    <w:rsid w:val="005F0044"/>
    <w:rsid w:val="005F0D97"/>
    <w:rsid w:val="005F1BC0"/>
    <w:rsid w:val="005F1C92"/>
    <w:rsid w:val="005F1FFA"/>
    <w:rsid w:val="005F378F"/>
    <w:rsid w:val="005F7EA5"/>
    <w:rsid w:val="00602515"/>
    <w:rsid w:val="00602668"/>
    <w:rsid w:val="00602CD8"/>
    <w:rsid w:val="00604F56"/>
    <w:rsid w:val="00606F73"/>
    <w:rsid w:val="00607C5E"/>
    <w:rsid w:val="00612D5D"/>
    <w:rsid w:val="00614503"/>
    <w:rsid w:val="006148B4"/>
    <w:rsid w:val="00614C38"/>
    <w:rsid w:val="00617359"/>
    <w:rsid w:val="006208BB"/>
    <w:rsid w:val="00620C30"/>
    <w:rsid w:val="00625DA5"/>
    <w:rsid w:val="00625FC6"/>
    <w:rsid w:val="00626627"/>
    <w:rsid w:val="006266B9"/>
    <w:rsid w:val="0062670C"/>
    <w:rsid w:val="0062727A"/>
    <w:rsid w:val="0063130A"/>
    <w:rsid w:val="00631390"/>
    <w:rsid w:val="00634370"/>
    <w:rsid w:val="00635A85"/>
    <w:rsid w:val="00636525"/>
    <w:rsid w:val="00637DBE"/>
    <w:rsid w:val="006400AF"/>
    <w:rsid w:val="00643ECD"/>
    <w:rsid w:val="00644077"/>
    <w:rsid w:val="00644FBC"/>
    <w:rsid w:val="00646487"/>
    <w:rsid w:val="00646E6B"/>
    <w:rsid w:val="00647FC2"/>
    <w:rsid w:val="00650A40"/>
    <w:rsid w:val="00651DBB"/>
    <w:rsid w:val="006521DA"/>
    <w:rsid w:val="006542A7"/>
    <w:rsid w:val="006545F6"/>
    <w:rsid w:val="00654954"/>
    <w:rsid w:val="00656062"/>
    <w:rsid w:val="00657DCA"/>
    <w:rsid w:val="006612ED"/>
    <w:rsid w:val="00662FE0"/>
    <w:rsid w:val="006642CD"/>
    <w:rsid w:val="00666341"/>
    <w:rsid w:val="006705F7"/>
    <w:rsid w:val="00670747"/>
    <w:rsid w:val="00671AE8"/>
    <w:rsid w:val="006729A0"/>
    <w:rsid w:val="0067374E"/>
    <w:rsid w:val="006746C6"/>
    <w:rsid w:val="00677142"/>
    <w:rsid w:val="00680195"/>
    <w:rsid w:val="006808FA"/>
    <w:rsid w:val="0068297B"/>
    <w:rsid w:val="006833A9"/>
    <w:rsid w:val="00683515"/>
    <w:rsid w:val="00684463"/>
    <w:rsid w:val="00684F6E"/>
    <w:rsid w:val="0068759D"/>
    <w:rsid w:val="00687F4F"/>
    <w:rsid w:val="00690785"/>
    <w:rsid w:val="00691E26"/>
    <w:rsid w:val="00693014"/>
    <w:rsid w:val="006934DC"/>
    <w:rsid w:val="00693690"/>
    <w:rsid w:val="00693B6C"/>
    <w:rsid w:val="00696403"/>
    <w:rsid w:val="006A0459"/>
    <w:rsid w:val="006A0B71"/>
    <w:rsid w:val="006A11E1"/>
    <w:rsid w:val="006A15D0"/>
    <w:rsid w:val="006A1B7C"/>
    <w:rsid w:val="006A1D82"/>
    <w:rsid w:val="006A2463"/>
    <w:rsid w:val="006A36B3"/>
    <w:rsid w:val="006A372B"/>
    <w:rsid w:val="006A396C"/>
    <w:rsid w:val="006A4C78"/>
    <w:rsid w:val="006A5710"/>
    <w:rsid w:val="006A5A14"/>
    <w:rsid w:val="006A5EE6"/>
    <w:rsid w:val="006A7C45"/>
    <w:rsid w:val="006B0C89"/>
    <w:rsid w:val="006B7F4D"/>
    <w:rsid w:val="006C03E9"/>
    <w:rsid w:val="006C12FB"/>
    <w:rsid w:val="006C1B7C"/>
    <w:rsid w:val="006C2DD8"/>
    <w:rsid w:val="006C35E0"/>
    <w:rsid w:val="006C4781"/>
    <w:rsid w:val="006C58FE"/>
    <w:rsid w:val="006C60FC"/>
    <w:rsid w:val="006C6A26"/>
    <w:rsid w:val="006C74B4"/>
    <w:rsid w:val="006D09E8"/>
    <w:rsid w:val="006D2722"/>
    <w:rsid w:val="006D27DE"/>
    <w:rsid w:val="006D359C"/>
    <w:rsid w:val="006D4032"/>
    <w:rsid w:val="006D4153"/>
    <w:rsid w:val="006D491A"/>
    <w:rsid w:val="006D50A7"/>
    <w:rsid w:val="006D520F"/>
    <w:rsid w:val="006D6503"/>
    <w:rsid w:val="006D66AA"/>
    <w:rsid w:val="006E2DB8"/>
    <w:rsid w:val="006E3C50"/>
    <w:rsid w:val="006E4300"/>
    <w:rsid w:val="006E4E80"/>
    <w:rsid w:val="006E5C0A"/>
    <w:rsid w:val="006E648C"/>
    <w:rsid w:val="006E6D05"/>
    <w:rsid w:val="006E74FB"/>
    <w:rsid w:val="006F019A"/>
    <w:rsid w:val="006F1316"/>
    <w:rsid w:val="006F15C7"/>
    <w:rsid w:val="006F2164"/>
    <w:rsid w:val="006F254E"/>
    <w:rsid w:val="006F2ECF"/>
    <w:rsid w:val="006F3D8D"/>
    <w:rsid w:val="006F4005"/>
    <w:rsid w:val="006F481B"/>
    <w:rsid w:val="006F4F90"/>
    <w:rsid w:val="006F53AD"/>
    <w:rsid w:val="006F626F"/>
    <w:rsid w:val="006F6A8D"/>
    <w:rsid w:val="006F711B"/>
    <w:rsid w:val="006F790F"/>
    <w:rsid w:val="00700A5B"/>
    <w:rsid w:val="0070170E"/>
    <w:rsid w:val="0070188D"/>
    <w:rsid w:val="007020B6"/>
    <w:rsid w:val="00703253"/>
    <w:rsid w:val="00704623"/>
    <w:rsid w:val="00705100"/>
    <w:rsid w:val="0070573B"/>
    <w:rsid w:val="00706BA7"/>
    <w:rsid w:val="0070713D"/>
    <w:rsid w:val="00707ECD"/>
    <w:rsid w:val="007115B0"/>
    <w:rsid w:val="007147BF"/>
    <w:rsid w:val="007158CD"/>
    <w:rsid w:val="00716224"/>
    <w:rsid w:val="00716483"/>
    <w:rsid w:val="00717486"/>
    <w:rsid w:val="0072049F"/>
    <w:rsid w:val="00720D92"/>
    <w:rsid w:val="00721BEB"/>
    <w:rsid w:val="00722BBD"/>
    <w:rsid w:val="00722CF2"/>
    <w:rsid w:val="00723273"/>
    <w:rsid w:val="00725B9F"/>
    <w:rsid w:val="0072740F"/>
    <w:rsid w:val="00727E8B"/>
    <w:rsid w:val="00732AB8"/>
    <w:rsid w:val="00734B27"/>
    <w:rsid w:val="00734C78"/>
    <w:rsid w:val="00734FA7"/>
    <w:rsid w:val="007369FF"/>
    <w:rsid w:val="00736BD1"/>
    <w:rsid w:val="00742421"/>
    <w:rsid w:val="0074254F"/>
    <w:rsid w:val="0074285D"/>
    <w:rsid w:val="0074396C"/>
    <w:rsid w:val="00744FDC"/>
    <w:rsid w:val="00746824"/>
    <w:rsid w:val="007478F2"/>
    <w:rsid w:val="007503BF"/>
    <w:rsid w:val="0075066E"/>
    <w:rsid w:val="00751EFD"/>
    <w:rsid w:val="007528AB"/>
    <w:rsid w:val="007536CE"/>
    <w:rsid w:val="007541C3"/>
    <w:rsid w:val="0075434B"/>
    <w:rsid w:val="007548AC"/>
    <w:rsid w:val="007552A3"/>
    <w:rsid w:val="00755B3B"/>
    <w:rsid w:val="0075659C"/>
    <w:rsid w:val="0075749F"/>
    <w:rsid w:val="007611CC"/>
    <w:rsid w:val="00762478"/>
    <w:rsid w:val="00762E3D"/>
    <w:rsid w:val="007634BB"/>
    <w:rsid w:val="0076535B"/>
    <w:rsid w:val="00772F99"/>
    <w:rsid w:val="007746E5"/>
    <w:rsid w:val="00774896"/>
    <w:rsid w:val="00775CB3"/>
    <w:rsid w:val="007769DA"/>
    <w:rsid w:val="00777771"/>
    <w:rsid w:val="0078212D"/>
    <w:rsid w:val="00782795"/>
    <w:rsid w:val="007859B6"/>
    <w:rsid w:val="0078700E"/>
    <w:rsid w:val="00787AF1"/>
    <w:rsid w:val="00790124"/>
    <w:rsid w:val="00790826"/>
    <w:rsid w:val="00790D81"/>
    <w:rsid w:val="00792B00"/>
    <w:rsid w:val="0079364E"/>
    <w:rsid w:val="00793A6A"/>
    <w:rsid w:val="00793BB9"/>
    <w:rsid w:val="007945FC"/>
    <w:rsid w:val="0079540A"/>
    <w:rsid w:val="00795A44"/>
    <w:rsid w:val="00795CD5"/>
    <w:rsid w:val="00795DF3"/>
    <w:rsid w:val="007968EF"/>
    <w:rsid w:val="007A0217"/>
    <w:rsid w:val="007A074B"/>
    <w:rsid w:val="007A0F1B"/>
    <w:rsid w:val="007A11C4"/>
    <w:rsid w:val="007A166F"/>
    <w:rsid w:val="007A215C"/>
    <w:rsid w:val="007A3ED9"/>
    <w:rsid w:val="007A4EA4"/>
    <w:rsid w:val="007A5153"/>
    <w:rsid w:val="007A61FF"/>
    <w:rsid w:val="007A7F24"/>
    <w:rsid w:val="007B0064"/>
    <w:rsid w:val="007B0639"/>
    <w:rsid w:val="007B1438"/>
    <w:rsid w:val="007B1C23"/>
    <w:rsid w:val="007B39F0"/>
    <w:rsid w:val="007B3FC3"/>
    <w:rsid w:val="007B487E"/>
    <w:rsid w:val="007B5186"/>
    <w:rsid w:val="007B54BE"/>
    <w:rsid w:val="007B5B49"/>
    <w:rsid w:val="007B76D7"/>
    <w:rsid w:val="007C13EC"/>
    <w:rsid w:val="007C1D36"/>
    <w:rsid w:val="007C286D"/>
    <w:rsid w:val="007C596E"/>
    <w:rsid w:val="007C60A4"/>
    <w:rsid w:val="007C6F7F"/>
    <w:rsid w:val="007D0738"/>
    <w:rsid w:val="007D0A8F"/>
    <w:rsid w:val="007D2643"/>
    <w:rsid w:val="007D2B98"/>
    <w:rsid w:val="007D2C17"/>
    <w:rsid w:val="007D3962"/>
    <w:rsid w:val="007D3E66"/>
    <w:rsid w:val="007D424B"/>
    <w:rsid w:val="007D490E"/>
    <w:rsid w:val="007D5792"/>
    <w:rsid w:val="007D6E91"/>
    <w:rsid w:val="007D741F"/>
    <w:rsid w:val="007D7CA6"/>
    <w:rsid w:val="007E09BC"/>
    <w:rsid w:val="007E2620"/>
    <w:rsid w:val="007E307E"/>
    <w:rsid w:val="007E3A6F"/>
    <w:rsid w:val="007E3FE7"/>
    <w:rsid w:val="007E7AEF"/>
    <w:rsid w:val="007E7EC8"/>
    <w:rsid w:val="007F18A6"/>
    <w:rsid w:val="007F2685"/>
    <w:rsid w:val="007F2C7E"/>
    <w:rsid w:val="007F3B53"/>
    <w:rsid w:val="007F3C2D"/>
    <w:rsid w:val="007F4373"/>
    <w:rsid w:val="007F4EB6"/>
    <w:rsid w:val="007F68C9"/>
    <w:rsid w:val="007F76F7"/>
    <w:rsid w:val="00800444"/>
    <w:rsid w:val="00800B1A"/>
    <w:rsid w:val="00800BF0"/>
    <w:rsid w:val="0080193E"/>
    <w:rsid w:val="00801F6E"/>
    <w:rsid w:val="00802A76"/>
    <w:rsid w:val="00804231"/>
    <w:rsid w:val="008042D6"/>
    <w:rsid w:val="008043B9"/>
    <w:rsid w:val="0080498E"/>
    <w:rsid w:val="008058ED"/>
    <w:rsid w:val="0080697B"/>
    <w:rsid w:val="00807F14"/>
    <w:rsid w:val="00810F6C"/>
    <w:rsid w:val="00813E88"/>
    <w:rsid w:val="00815DE6"/>
    <w:rsid w:val="008175CB"/>
    <w:rsid w:val="00817949"/>
    <w:rsid w:val="00820D47"/>
    <w:rsid w:val="00821945"/>
    <w:rsid w:val="00821DF9"/>
    <w:rsid w:val="00821E78"/>
    <w:rsid w:val="0082253E"/>
    <w:rsid w:val="00823602"/>
    <w:rsid w:val="008243A6"/>
    <w:rsid w:val="008247EE"/>
    <w:rsid w:val="00824ECD"/>
    <w:rsid w:val="00827D91"/>
    <w:rsid w:val="008302CC"/>
    <w:rsid w:val="0083089B"/>
    <w:rsid w:val="00830B8E"/>
    <w:rsid w:val="008324C2"/>
    <w:rsid w:val="0083469B"/>
    <w:rsid w:val="00834898"/>
    <w:rsid w:val="00835FBA"/>
    <w:rsid w:val="0083667A"/>
    <w:rsid w:val="00836FF3"/>
    <w:rsid w:val="00840ECE"/>
    <w:rsid w:val="0084264E"/>
    <w:rsid w:val="0084285A"/>
    <w:rsid w:val="00842E63"/>
    <w:rsid w:val="00843A90"/>
    <w:rsid w:val="0084542D"/>
    <w:rsid w:val="00847128"/>
    <w:rsid w:val="00851FBE"/>
    <w:rsid w:val="0085378B"/>
    <w:rsid w:val="00853978"/>
    <w:rsid w:val="00854D1C"/>
    <w:rsid w:val="00855BB9"/>
    <w:rsid w:val="00855C7D"/>
    <w:rsid w:val="00857572"/>
    <w:rsid w:val="008575BF"/>
    <w:rsid w:val="00861E04"/>
    <w:rsid w:val="00863539"/>
    <w:rsid w:val="00863E41"/>
    <w:rsid w:val="00863F12"/>
    <w:rsid w:val="00865E91"/>
    <w:rsid w:val="008666A9"/>
    <w:rsid w:val="0086696C"/>
    <w:rsid w:val="0086731A"/>
    <w:rsid w:val="00867C98"/>
    <w:rsid w:val="00871B37"/>
    <w:rsid w:val="00871FFC"/>
    <w:rsid w:val="00872827"/>
    <w:rsid w:val="00872C8A"/>
    <w:rsid w:val="00872DD2"/>
    <w:rsid w:val="00872FC9"/>
    <w:rsid w:val="00873A7D"/>
    <w:rsid w:val="008759B3"/>
    <w:rsid w:val="008765F9"/>
    <w:rsid w:val="00877979"/>
    <w:rsid w:val="0088069D"/>
    <w:rsid w:val="0088096F"/>
    <w:rsid w:val="008816F3"/>
    <w:rsid w:val="0088264A"/>
    <w:rsid w:val="008867DE"/>
    <w:rsid w:val="00886F4F"/>
    <w:rsid w:val="00887DE0"/>
    <w:rsid w:val="00890C5A"/>
    <w:rsid w:val="008925BD"/>
    <w:rsid w:val="00892C0D"/>
    <w:rsid w:val="00892C9B"/>
    <w:rsid w:val="00892FC5"/>
    <w:rsid w:val="0089569D"/>
    <w:rsid w:val="008965D7"/>
    <w:rsid w:val="008979A1"/>
    <w:rsid w:val="00897F17"/>
    <w:rsid w:val="008A30D0"/>
    <w:rsid w:val="008A3F74"/>
    <w:rsid w:val="008A51C8"/>
    <w:rsid w:val="008A582C"/>
    <w:rsid w:val="008A6676"/>
    <w:rsid w:val="008A7A95"/>
    <w:rsid w:val="008B08A2"/>
    <w:rsid w:val="008B1373"/>
    <w:rsid w:val="008B4611"/>
    <w:rsid w:val="008B539D"/>
    <w:rsid w:val="008B78B7"/>
    <w:rsid w:val="008C11E3"/>
    <w:rsid w:val="008C1A77"/>
    <w:rsid w:val="008C1D97"/>
    <w:rsid w:val="008C239B"/>
    <w:rsid w:val="008C2D38"/>
    <w:rsid w:val="008C31E4"/>
    <w:rsid w:val="008C5A4E"/>
    <w:rsid w:val="008C62FB"/>
    <w:rsid w:val="008D11B0"/>
    <w:rsid w:val="008D127E"/>
    <w:rsid w:val="008D216F"/>
    <w:rsid w:val="008D36CC"/>
    <w:rsid w:val="008D4A89"/>
    <w:rsid w:val="008D508F"/>
    <w:rsid w:val="008D5675"/>
    <w:rsid w:val="008D5D70"/>
    <w:rsid w:val="008D7B02"/>
    <w:rsid w:val="008E0BE1"/>
    <w:rsid w:val="008E1579"/>
    <w:rsid w:val="008E16BD"/>
    <w:rsid w:val="008E39BD"/>
    <w:rsid w:val="008E56BB"/>
    <w:rsid w:val="008E5AFC"/>
    <w:rsid w:val="008E63FD"/>
    <w:rsid w:val="008E748C"/>
    <w:rsid w:val="008F240C"/>
    <w:rsid w:val="008F333E"/>
    <w:rsid w:val="008F4E98"/>
    <w:rsid w:val="008F71DD"/>
    <w:rsid w:val="008F770B"/>
    <w:rsid w:val="00901571"/>
    <w:rsid w:val="009023A7"/>
    <w:rsid w:val="00902771"/>
    <w:rsid w:val="009055D2"/>
    <w:rsid w:val="0090567C"/>
    <w:rsid w:val="00905EF4"/>
    <w:rsid w:val="00907B9D"/>
    <w:rsid w:val="0091041E"/>
    <w:rsid w:val="0091123C"/>
    <w:rsid w:val="00911DC8"/>
    <w:rsid w:val="009126A2"/>
    <w:rsid w:val="009127AA"/>
    <w:rsid w:val="009131E5"/>
    <w:rsid w:val="00913FFC"/>
    <w:rsid w:val="00915547"/>
    <w:rsid w:val="00915E62"/>
    <w:rsid w:val="0091625E"/>
    <w:rsid w:val="009164A1"/>
    <w:rsid w:val="00916AB4"/>
    <w:rsid w:val="00917119"/>
    <w:rsid w:val="00917913"/>
    <w:rsid w:val="009179F0"/>
    <w:rsid w:val="00920053"/>
    <w:rsid w:val="00921F03"/>
    <w:rsid w:val="00923928"/>
    <w:rsid w:val="00924600"/>
    <w:rsid w:val="00925AE4"/>
    <w:rsid w:val="00925FF8"/>
    <w:rsid w:val="0092660C"/>
    <w:rsid w:val="009268E9"/>
    <w:rsid w:val="00926BB9"/>
    <w:rsid w:val="009311B4"/>
    <w:rsid w:val="00931A3D"/>
    <w:rsid w:val="00933B71"/>
    <w:rsid w:val="00934755"/>
    <w:rsid w:val="00935216"/>
    <w:rsid w:val="009355C1"/>
    <w:rsid w:val="0094126B"/>
    <w:rsid w:val="00942123"/>
    <w:rsid w:val="009421B2"/>
    <w:rsid w:val="009428D7"/>
    <w:rsid w:val="00943264"/>
    <w:rsid w:val="0094328C"/>
    <w:rsid w:val="00944688"/>
    <w:rsid w:val="009448D5"/>
    <w:rsid w:val="00946645"/>
    <w:rsid w:val="00954634"/>
    <w:rsid w:val="009578B4"/>
    <w:rsid w:val="00964181"/>
    <w:rsid w:val="00964477"/>
    <w:rsid w:val="00965AA9"/>
    <w:rsid w:val="0096648B"/>
    <w:rsid w:val="00966542"/>
    <w:rsid w:val="009673AD"/>
    <w:rsid w:val="009703E6"/>
    <w:rsid w:val="00970639"/>
    <w:rsid w:val="00970C9C"/>
    <w:rsid w:val="00972919"/>
    <w:rsid w:val="0097356F"/>
    <w:rsid w:val="00974FC0"/>
    <w:rsid w:val="00976110"/>
    <w:rsid w:val="009806E3"/>
    <w:rsid w:val="00980D63"/>
    <w:rsid w:val="00981A0D"/>
    <w:rsid w:val="0098326D"/>
    <w:rsid w:val="00983863"/>
    <w:rsid w:val="00983E31"/>
    <w:rsid w:val="0098477D"/>
    <w:rsid w:val="00984AA6"/>
    <w:rsid w:val="00986280"/>
    <w:rsid w:val="009905AB"/>
    <w:rsid w:val="009910A1"/>
    <w:rsid w:val="00992C34"/>
    <w:rsid w:val="00993781"/>
    <w:rsid w:val="00995388"/>
    <w:rsid w:val="009956C0"/>
    <w:rsid w:val="00996F82"/>
    <w:rsid w:val="00997242"/>
    <w:rsid w:val="009975AC"/>
    <w:rsid w:val="00997A90"/>
    <w:rsid w:val="009A1415"/>
    <w:rsid w:val="009A1957"/>
    <w:rsid w:val="009A34C2"/>
    <w:rsid w:val="009A3FE3"/>
    <w:rsid w:val="009A4795"/>
    <w:rsid w:val="009A511C"/>
    <w:rsid w:val="009A747E"/>
    <w:rsid w:val="009A7B66"/>
    <w:rsid w:val="009B196B"/>
    <w:rsid w:val="009B34FF"/>
    <w:rsid w:val="009B4732"/>
    <w:rsid w:val="009B4C0D"/>
    <w:rsid w:val="009B4EAF"/>
    <w:rsid w:val="009B5105"/>
    <w:rsid w:val="009B7182"/>
    <w:rsid w:val="009B7218"/>
    <w:rsid w:val="009C0A8B"/>
    <w:rsid w:val="009C2994"/>
    <w:rsid w:val="009C38FE"/>
    <w:rsid w:val="009C6156"/>
    <w:rsid w:val="009C6B98"/>
    <w:rsid w:val="009D245E"/>
    <w:rsid w:val="009D620C"/>
    <w:rsid w:val="009D641C"/>
    <w:rsid w:val="009D6E30"/>
    <w:rsid w:val="009D6F97"/>
    <w:rsid w:val="009E0B08"/>
    <w:rsid w:val="009E2F7D"/>
    <w:rsid w:val="009E5AE0"/>
    <w:rsid w:val="009E785C"/>
    <w:rsid w:val="009E79C3"/>
    <w:rsid w:val="009E7BD1"/>
    <w:rsid w:val="009F0898"/>
    <w:rsid w:val="009F16AE"/>
    <w:rsid w:val="009F5D86"/>
    <w:rsid w:val="009F63C9"/>
    <w:rsid w:val="009F67AA"/>
    <w:rsid w:val="009F6FF7"/>
    <w:rsid w:val="00A0056B"/>
    <w:rsid w:val="00A01F7A"/>
    <w:rsid w:val="00A02A86"/>
    <w:rsid w:val="00A04F84"/>
    <w:rsid w:val="00A05195"/>
    <w:rsid w:val="00A05A02"/>
    <w:rsid w:val="00A06F6A"/>
    <w:rsid w:val="00A1046F"/>
    <w:rsid w:val="00A12333"/>
    <w:rsid w:val="00A130F8"/>
    <w:rsid w:val="00A14DEC"/>
    <w:rsid w:val="00A156DE"/>
    <w:rsid w:val="00A163CD"/>
    <w:rsid w:val="00A166DC"/>
    <w:rsid w:val="00A20439"/>
    <w:rsid w:val="00A21FFC"/>
    <w:rsid w:val="00A242E5"/>
    <w:rsid w:val="00A26235"/>
    <w:rsid w:val="00A2779A"/>
    <w:rsid w:val="00A2797E"/>
    <w:rsid w:val="00A27C30"/>
    <w:rsid w:val="00A30DC9"/>
    <w:rsid w:val="00A3389E"/>
    <w:rsid w:val="00A33C74"/>
    <w:rsid w:val="00A36457"/>
    <w:rsid w:val="00A36522"/>
    <w:rsid w:val="00A40578"/>
    <w:rsid w:val="00A40604"/>
    <w:rsid w:val="00A40E1E"/>
    <w:rsid w:val="00A40F2E"/>
    <w:rsid w:val="00A41594"/>
    <w:rsid w:val="00A425CC"/>
    <w:rsid w:val="00A42B18"/>
    <w:rsid w:val="00A4382F"/>
    <w:rsid w:val="00A43AAC"/>
    <w:rsid w:val="00A43EF8"/>
    <w:rsid w:val="00A44765"/>
    <w:rsid w:val="00A452D3"/>
    <w:rsid w:val="00A47D57"/>
    <w:rsid w:val="00A47FA0"/>
    <w:rsid w:val="00A507C3"/>
    <w:rsid w:val="00A5113C"/>
    <w:rsid w:val="00A5411C"/>
    <w:rsid w:val="00A545E2"/>
    <w:rsid w:val="00A573E5"/>
    <w:rsid w:val="00A57DB6"/>
    <w:rsid w:val="00A605D9"/>
    <w:rsid w:val="00A60B0E"/>
    <w:rsid w:val="00A61813"/>
    <w:rsid w:val="00A623E6"/>
    <w:rsid w:val="00A62F8D"/>
    <w:rsid w:val="00A633BF"/>
    <w:rsid w:val="00A6366A"/>
    <w:rsid w:val="00A65049"/>
    <w:rsid w:val="00A652C7"/>
    <w:rsid w:val="00A65CD1"/>
    <w:rsid w:val="00A66146"/>
    <w:rsid w:val="00A6627A"/>
    <w:rsid w:val="00A6737E"/>
    <w:rsid w:val="00A7009F"/>
    <w:rsid w:val="00A719CA"/>
    <w:rsid w:val="00A74D65"/>
    <w:rsid w:val="00A74DF8"/>
    <w:rsid w:val="00A752AC"/>
    <w:rsid w:val="00A7742D"/>
    <w:rsid w:val="00A81757"/>
    <w:rsid w:val="00A8343F"/>
    <w:rsid w:val="00A8531D"/>
    <w:rsid w:val="00A853DC"/>
    <w:rsid w:val="00A86147"/>
    <w:rsid w:val="00A8697F"/>
    <w:rsid w:val="00A91174"/>
    <w:rsid w:val="00A916B8"/>
    <w:rsid w:val="00A917C5"/>
    <w:rsid w:val="00A94718"/>
    <w:rsid w:val="00A94A0B"/>
    <w:rsid w:val="00A94E51"/>
    <w:rsid w:val="00A959A9"/>
    <w:rsid w:val="00A97A4F"/>
    <w:rsid w:val="00AA1E28"/>
    <w:rsid w:val="00AA20B2"/>
    <w:rsid w:val="00AA3AF5"/>
    <w:rsid w:val="00AA3B7D"/>
    <w:rsid w:val="00AA5B5F"/>
    <w:rsid w:val="00AA5DAA"/>
    <w:rsid w:val="00AB1632"/>
    <w:rsid w:val="00AB3A95"/>
    <w:rsid w:val="00AB457F"/>
    <w:rsid w:val="00AB61C1"/>
    <w:rsid w:val="00AB7BF7"/>
    <w:rsid w:val="00AC0322"/>
    <w:rsid w:val="00AC07AC"/>
    <w:rsid w:val="00AC0F78"/>
    <w:rsid w:val="00AC13D3"/>
    <w:rsid w:val="00AC1EF8"/>
    <w:rsid w:val="00AC214A"/>
    <w:rsid w:val="00AC3328"/>
    <w:rsid w:val="00AC3467"/>
    <w:rsid w:val="00AC6DE3"/>
    <w:rsid w:val="00AC75FA"/>
    <w:rsid w:val="00AD27D3"/>
    <w:rsid w:val="00AD2B1D"/>
    <w:rsid w:val="00AD2BFA"/>
    <w:rsid w:val="00AD4E1A"/>
    <w:rsid w:val="00AD5C6E"/>
    <w:rsid w:val="00AE29C5"/>
    <w:rsid w:val="00AE2B54"/>
    <w:rsid w:val="00AE3783"/>
    <w:rsid w:val="00AE3E90"/>
    <w:rsid w:val="00AE4477"/>
    <w:rsid w:val="00AE6158"/>
    <w:rsid w:val="00AE6697"/>
    <w:rsid w:val="00AE6813"/>
    <w:rsid w:val="00AE77CE"/>
    <w:rsid w:val="00AF0FFF"/>
    <w:rsid w:val="00AF5615"/>
    <w:rsid w:val="00AF5A3E"/>
    <w:rsid w:val="00AF5BA4"/>
    <w:rsid w:val="00AF776E"/>
    <w:rsid w:val="00AF7EBA"/>
    <w:rsid w:val="00B01C8C"/>
    <w:rsid w:val="00B01FC8"/>
    <w:rsid w:val="00B032A8"/>
    <w:rsid w:val="00B03BDA"/>
    <w:rsid w:val="00B0400D"/>
    <w:rsid w:val="00B04D50"/>
    <w:rsid w:val="00B06EBC"/>
    <w:rsid w:val="00B075D0"/>
    <w:rsid w:val="00B104F0"/>
    <w:rsid w:val="00B1093E"/>
    <w:rsid w:val="00B124C1"/>
    <w:rsid w:val="00B14592"/>
    <w:rsid w:val="00B1547B"/>
    <w:rsid w:val="00B15FCD"/>
    <w:rsid w:val="00B165D3"/>
    <w:rsid w:val="00B179B7"/>
    <w:rsid w:val="00B17F86"/>
    <w:rsid w:val="00B213DC"/>
    <w:rsid w:val="00B223B2"/>
    <w:rsid w:val="00B22C7D"/>
    <w:rsid w:val="00B2430B"/>
    <w:rsid w:val="00B2693C"/>
    <w:rsid w:val="00B26A4A"/>
    <w:rsid w:val="00B27689"/>
    <w:rsid w:val="00B30190"/>
    <w:rsid w:val="00B30CD0"/>
    <w:rsid w:val="00B30ED6"/>
    <w:rsid w:val="00B3229F"/>
    <w:rsid w:val="00B32D5A"/>
    <w:rsid w:val="00B34438"/>
    <w:rsid w:val="00B34698"/>
    <w:rsid w:val="00B34A78"/>
    <w:rsid w:val="00B372B2"/>
    <w:rsid w:val="00B42B35"/>
    <w:rsid w:val="00B459F7"/>
    <w:rsid w:val="00B461FD"/>
    <w:rsid w:val="00B50957"/>
    <w:rsid w:val="00B528FF"/>
    <w:rsid w:val="00B542F7"/>
    <w:rsid w:val="00B54FFB"/>
    <w:rsid w:val="00B55887"/>
    <w:rsid w:val="00B56074"/>
    <w:rsid w:val="00B57134"/>
    <w:rsid w:val="00B575AC"/>
    <w:rsid w:val="00B57F2E"/>
    <w:rsid w:val="00B63B69"/>
    <w:rsid w:val="00B63F1A"/>
    <w:rsid w:val="00B63F33"/>
    <w:rsid w:val="00B67BB6"/>
    <w:rsid w:val="00B70566"/>
    <w:rsid w:val="00B712FD"/>
    <w:rsid w:val="00B71643"/>
    <w:rsid w:val="00B74E50"/>
    <w:rsid w:val="00B76208"/>
    <w:rsid w:val="00B763BD"/>
    <w:rsid w:val="00B80612"/>
    <w:rsid w:val="00B80BD7"/>
    <w:rsid w:val="00B81E69"/>
    <w:rsid w:val="00B83522"/>
    <w:rsid w:val="00B837D6"/>
    <w:rsid w:val="00B83D37"/>
    <w:rsid w:val="00B84DF3"/>
    <w:rsid w:val="00B84F4A"/>
    <w:rsid w:val="00B856A4"/>
    <w:rsid w:val="00B867FD"/>
    <w:rsid w:val="00B870D9"/>
    <w:rsid w:val="00B87B98"/>
    <w:rsid w:val="00B92963"/>
    <w:rsid w:val="00B92D1C"/>
    <w:rsid w:val="00B9331C"/>
    <w:rsid w:val="00B93871"/>
    <w:rsid w:val="00B93AAF"/>
    <w:rsid w:val="00B96A8B"/>
    <w:rsid w:val="00B97082"/>
    <w:rsid w:val="00B97BAC"/>
    <w:rsid w:val="00BA44B7"/>
    <w:rsid w:val="00BA4B80"/>
    <w:rsid w:val="00BA4E83"/>
    <w:rsid w:val="00BA64BB"/>
    <w:rsid w:val="00BA668D"/>
    <w:rsid w:val="00BB2C2D"/>
    <w:rsid w:val="00BB4A37"/>
    <w:rsid w:val="00BB5AC0"/>
    <w:rsid w:val="00BB5ACB"/>
    <w:rsid w:val="00BB64D4"/>
    <w:rsid w:val="00BB6751"/>
    <w:rsid w:val="00BB7FFB"/>
    <w:rsid w:val="00BC0A6F"/>
    <w:rsid w:val="00BC2739"/>
    <w:rsid w:val="00BC296D"/>
    <w:rsid w:val="00BC34C0"/>
    <w:rsid w:val="00BC4CA3"/>
    <w:rsid w:val="00BC4DFB"/>
    <w:rsid w:val="00BC5548"/>
    <w:rsid w:val="00BC55A0"/>
    <w:rsid w:val="00BC747C"/>
    <w:rsid w:val="00BD1F00"/>
    <w:rsid w:val="00BD4B17"/>
    <w:rsid w:val="00BD5A78"/>
    <w:rsid w:val="00BD5D1D"/>
    <w:rsid w:val="00BD6190"/>
    <w:rsid w:val="00BD7349"/>
    <w:rsid w:val="00BD7946"/>
    <w:rsid w:val="00BD7F20"/>
    <w:rsid w:val="00BE4BFD"/>
    <w:rsid w:val="00BE568D"/>
    <w:rsid w:val="00BE6ABE"/>
    <w:rsid w:val="00BE6B68"/>
    <w:rsid w:val="00BF0745"/>
    <w:rsid w:val="00BF0E78"/>
    <w:rsid w:val="00BF17E8"/>
    <w:rsid w:val="00BF22A4"/>
    <w:rsid w:val="00BF2305"/>
    <w:rsid w:val="00BF2929"/>
    <w:rsid w:val="00BF2C4B"/>
    <w:rsid w:val="00BF45DD"/>
    <w:rsid w:val="00BF4EA1"/>
    <w:rsid w:val="00BF543D"/>
    <w:rsid w:val="00BF6F5E"/>
    <w:rsid w:val="00BF73A3"/>
    <w:rsid w:val="00C02338"/>
    <w:rsid w:val="00C02599"/>
    <w:rsid w:val="00C035C7"/>
    <w:rsid w:val="00C10095"/>
    <w:rsid w:val="00C113AC"/>
    <w:rsid w:val="00C1180D"/>
    <w:rsid w:val="00C11CF5"/>
    <w:rsid w:val="00C123FE"/>
    <w:rsid w:val="00C12F5F"/>
    <w:rsid w:val="00C13C32"/>
    <w:rsid w:val="00C151A3"/>
    <w:rsid w:val="00C15A31"/>
    <w:rsid w:val="00C20C9A"/>
    <w:rsid w:val="00C221F1"/>
    <w:rsid w:val="00C22996"/>
    <w:rsid w:val="00C24203"/>
    <w:rsid w:val="00C247AA"/>
    <w:rsid w:val="00C25355"/>
    <w:rsid w:val="00C27BC0"/>
    <w:rsid w:val="00C306C3"/>
    <w:rsid w:val="00C3212E"/>
    <w:rsid w:val="00C32BD4"/>
    <w:rsid w:val="00C33517"/>
    <w:rsid w:val="00C33960"/>
    <w:rsid w:val="00C33CF1"/>
    <w:rsid w:val="00C34DF6"/>
    <w:rsid w:val="00C36598"/>
    <w:rsid w:val="00C37F15"/>
    <w:rsid w:val="00C40453"/>
    <w:rsid w:val="00C419EF"/>
    <w:rsid w:val="00C4266F"/>
    <w:rsid w:val="00C435F1"/>
    <w:rsid w:val="00C448B1"/>
    <w:rsid w:val="00C44D2E"/>
    <w:rsid w:val="00C4523D"/>
    <w:rsid w:val="00C474D7"/>
    <w:rsid w:val="00C50344"/>
    <w:rsid w:val="00C5143C"/>
    <w:rsid w:val="00C52795"/>
    <w:rsid w:val="00C52C79"/>
    <w:rsid w:val="00C53509"/>
    <w:rsid w:val="00C53B53"/>
    <w:rsid w:val="00C53C45"/>
    <w:rsid w:val="00C55979"/>
    <w:rsid w:val="00C55FCA"/>
    <w:rsid w:val="00C56225"/>
    <w:rsid w:val="00C60174"/>
    <w:rsid w:val="00C611EF"/>
    <w:rsid w:val="00C62D63"/>
    <w:rsid w:val="00C6326C"/>
    <w:rsid w:val="00C6340C"/>
    <w:rsid w:val="00C63B9E"/>
    <w:rsid w:val="00C64424"/>
    <w:rsid w:val="00C6477A"/>
    <w:rsid w:val="00C648B4"/>
    <w:rsid w:val="00C661E0"/>
    <w:rsid w:val="00C66E88"/>
    <w:rsid w:val="00C70F9D"/>
    <w:rsid w:val="00C71FDA"/>
    <w:rsid w:val="00C737F3"/>
    <w:rsid w:val="00C74FC6"/>
    <w:rsid w:val="00C75195"/>
    <w:rsid w:val="00C75837"/>
    <w:rsid w:val="00C759EE"/>
    <w:rsid w:val="00C83A17"/>
    <w:rsid w:val="00C84F23"/>
    <w:rsid w:val="00C85549"/>
    <w:rsid w:val="00C94BEA"/>
    <w:rsid w:val="00C952D0"/>
    <w:rsid w:val="00C96EC3"/>
    <w:rsid w:val="00CA14A4"/>
    <w:rsid w:val="00CA19EC"/>
    <w:rsid w:val="00CA3CE6"/>
    <w:rsid w:val="00CA497C"/>
    <w:rsid w:val="00CA4E74"/>
    <w:rsid w:val="00CA5A06"/>
    <w:rsid w:val="00CA6521"/>
    <w:rsid w:val="00CA6C5A"/>
    <w:rsid w:val="00CA79A6"/>
    <w:rsid w:val="00CB045A"/>
    <w:rsid w:val="00CB0D28"/>
    <w:rsid w:val="00CB32BC"/>
    <w:rsid w:val="00CB59B4"/>
    <w:rsid w:val="00CB7067"/>
    <w:rsid w:val="00CB724F"/>
    <w:rsid w:val="00CC12A9"/>
    <w:rsid w:val="00CC29FA"/>
    <w:rsid w:val="00CC3324"/>
    <w:rsid w:val="00CC40CD"/>
    <w:rsid w:val="00CC57B3"/>
    <w:rsid w:val="00CC58AE"/>
    <w:rsid w:val="00CC5B28"/>
    <w:rsid w:val="00CC7C02"/>
    <w:rsid w:val="00CD02A0"/>
    <w:rsid w:val="00CD11E2"/>
    <w:rsid w:val="00CD39BD"/>
    <w:rsid w:val="00CD6553"/>
    <w:rsid w:val="00CD6976"/>
    <w:rsid w:val="00CD7966"/>
    <w:rsid w:val="00CE33DD"/>
    <w:rsid w:val="00CE484C"/>
    <w:rsid w:val="00CE72A4"/>
    <w:rsid w:val="00CF1502"/>
    <w:rsid w:val="00CF2604"/>
    <w:rsid w:val="00CF49C6"/>
    <w:rsid w:val="00CF6804"/>
    <w:rsid w:val="00CF708A"/>
    <w:rsid w:val="00D002F4"/>
    <w:rsid w:val="00D00F67"/>
    <w:rsid w:val="00D0258B"/>
    <w:rsid w:val="00D0302E"/>
    <w:rsid w:val="00D036A0"/>
    <w:rsid w:val="00D0398F"/>
    <w:rsid w:val="00D04F34"/>
    <w:rsid w:val="00D06648"/>
    <w:rsid w:val="00D1175C"/>
    <w:rsid w:val="00D155A1"/>
    <w:rsid w:val="00D16537"/>
    <w:rsid w:val="00D16D5B"/>
    <w:rsid w:val="00D20020"/>
    <w:rsid w:val="00D20B8B"/>
    <w:rsid w:val="00D2171E"/>
    <w:rsid w:val="00D23813"/>
    <w:rsid w:val="00D254D6"/>
    <w:rsid w:val="00D27629"/>
    <w:rsid w:val="00D30315"/>
    <w:rsid w:val="00D31FC5"/>
    <w:rsid w:val="00D32458"/>
    <w:rsid w:val="00D3369B"/>
    <w:rsid w:val="00D33F2C"/>
    <w:rsid w:val="00D34141"/>
    <w:rsid w:val="00D34272"/>
    <w:rsid w:val="00D40524"/>
    <w:rsid w:val="00D40EC9"/>
    <w:rsid w:val="00D410D2"/>
    <w:rsid w:val="00D41428"/>
    <w:rsid w:val="00D41832"/>
    <w:rsid w:val="00D422D8"/>
    <w:rsid w:val="00D42C80"/>
    <w:rsid w:val="00D42F1E"/>
    <w:rsid w:val="00D4385F"/>
    <w:rsid w:val="00D44141"/>
    <w:rsid w:val="00D44C6B"/>
    <w:rsid w:val="00D46661"/>
    <w:rsid w:val="00D505A7"/>
    <w:rsid w:val="00D54FF3"/>
    <w:rsid w:val="00D56358"/>
    <w:rsid w:val="00D56C4B"/>
    <w:rsid w:val="00D603DE"/>
    <w:rsid w:val="00D60400"/>
    <w:rsid w:val="00D60D3C"/>
    <w:rsid w:val="00D61578"/>
    <w:rsid w:val="00D62338"/>
    <w:rsid w:val="00D626BF"/>
    <w:rsid w:val="00D6337B"/>
    <w:rsid w:val="00D63646"/>
    <w:rsid w:val="00D638D4"/>
    <w:rsid w:val="00D6582C"/>
    <w:rsid w:val="00D66781"/>
    <w:rsid w:val="00D66A13"/>
    <w:rsid w:val="00D66D1C"/>
    <w:rsid w:val="00D705D0"/>
    <w:rsid w:val="00D72C4A"/>
    <w:rsid w:val="00D74900"/>
    <w:rsid w:val="00D74B4B"/>
    <w:rsid w:val="00D75F55"/>
    <w:rsid w:val="00D7635D"/>
    <w:rsid w:val="00D76EDC"/>
    <w:rsid w:val="00D800BB"/>
    <w:rsid w:val="00D8099F"/>
    <w:rsid w:val="00D81865"/>
    <w:rsid w:val="00D8516C"/>
    <w:rsid w:val="00D8580A"/>
    <w:rsid w:val="00D85B94"/>
    <w:rsid w:val="00D863BB"/>
    <w:rsid w:val="00D865B4"/>
    <w:rsid w:val="00D91204"/>
    <w:rsid w:val="00D9131C"/>
    <w:rsid w:val="00D921B7"/>
    <w:rsid w:val="00D92A4C"/>
    <w:rsid w:val="00D92A9F"/>
    <w:rsid w:val="00D92B80"/>
    <w:rsid w:val="00D93E37"/>
    <w:rsid w:val="00D94E23"/>
    <w:rsid w:val="00D94FB2"/>
    <w:rsid w:val="00D96996"/>
    <w:rsid w:val="00D96D49"/>
    <w:rsid w:val="00D96D85"/>
    <w:rsid w:val="00DA052B"/>
    <w:rsid w:val="00DA2219"/>
    <w:rsid w:val="00DA4AD9"/>
    <w:rsid w:val="00DB0150"/>
    <w:rsid w:val="00DB0420"/>
    <w:rsid w:val="00DB06AD"/>
    <w:rsid w:val="00DB0D21"/>
    <w:rsid w:val="00DB1CE0"/>
    <w:rsid w:val="00DB35CE"/>
    <w:rsid w:val="00DB3761"/>
    <w:rsid w:val="00DB42C1"/>
    <w:rsid w:val="00DB6FF9"/>
    <w:rsid w:val="00DC211A"/>
    <w:rsid w:val="00DC2158"/>
    <w:rsid w:val="00DC2F2C"/>
    <w:rsid w:val="00DC5301"/>
    <w:rsid w:val="00DC5A43"/>
    <w:rsid w:val="00DC5F78"/>
    <w:rsid w:val="00DC62CA"/>
    <w:rsid w:val="00DC6414"/>
    <w:rsid w:val="00DC66E0"/>
    <w:rsid w:val="00DC7697"/>
    <w:rsid w:val="00DD2961"/>
    <w:rsid w:val="00DD38B7"/>
    <w:rsid w:val="00DD3B5D"/>
    <w:rsid w:val="00DD5684"/>
    <w:rsid w:val="00DE0298"/>
    <w:rsid w:val="00DE1245"/>
    <w:rsid w:val="00DE133C"/>
    <w:rsid w:val="00DE1D28"/>
    <w:rsid w:val="00DE2694"/>
    <w:rsid w:val="00DE3613"/>
    <w:rsid w:val="00DE3827"/>
    <w:rsid w:val="00DE3DBF"/>
    <w:rsid w:val="00DE44EA"/>
    <w:rsid w:val="00DE4C9A"/>
    <w:rsid w:val="00DE57C6"/>
    <w:rsid w:val="00DF0F5A"/>
    <w:rsid w:val="00DF12FC"/>
    <w:rsid w:val="00DF4E3D"/>
    <w:rsid w:val="00DF569B"/>
    <w:rsid w:val="00DF59A2"/>
    <w:rsid w:val="00DF766B"/>
    <w:rsid w:val="00E00770"/>
    <w:rsid w:val="00E00F95"/>
    <w:rsid w:val="00E01568"/>
    <w:rsid w:val="00E10365"/>
    <w:rsid w:val="00E10534"/>
    <w:rsid w:val="00E10DCE"/>
    <w:rsid w:val="00E1491C"/>
    <w:rsid w:val="00E14F50"/>
    <w:rsid w:val="00E20DA5"/>
    <w:rsid w:val="00E21456"/>
    <w:rsid w:val="00E21AA3"/>
    <w:rsid w:val="00E21C96"/>
    <w:rsid w:val="00E26817"/>
    <w:rsid w:val="00E30096"/>
    <w:rsid w:val="00E304BF"/>
    <w:rsid w:val="00E304E2"/>
    <w:rsid w:val="00E311F5"/>
    <w:rsid w:val="00E326C9"/>
    <w:rsid w:val="00E32BD7"/>
    <w:rsid w:val="00E33B3C"/>
    <w:rsid w:val="00E34CDC"/>
    <w:rsid w:val="00E36C1C"/>
    <w:rsid w:val="00E37006"/>
    <w:rsid w:val="00E40271"/>
    <w:rsid w:val="00E41E8B"/>
    <w:rsid w:val="00E42896"/>
    <w:rsid w:val="00E4361C"/>
    <w:rsid w:val="00E44BDA"/>
    <w:rsid w:val="00E44F14"/>
    <w:rsid w:val="00E45289"/>
    <w:rsid w:val="00E454A5"/>
    <w:rsid w:val="00E458EF"/>
    <w:rsid w:val="00E47E3A"/>
    <w:rsid w:val="00E50519"/>
    <w:rsid w:val="00E50731"/>
    <w:rsid w:val="00E51F1C"/>
    <w:rsid w:val="00E523B8"/>
    <w:rsid w:val="00E543E4"/>
    <w:rsid w:val="00E54437"/>
    <w:rsid w:val="00E54586"/>
    <w:rsid w:val="00E54DE7"/>
    <w:rsid w:val="00E56A3A"/>
    <w:rsid w:val="00E57767"/>
    <w:rsid w:val="00E60BA8"/>
    <w:rsid w:val="00E619BF"/>
    <w:rsid w:val="00E61A83"/>
    <w:rsid w:val="00E62654"/>
    <w:rsid w:val="00E64119"/>
    <w:rsid w:val="00E6737B"/>
    <w:rsid w:val="00E7108C"/>
    <w:rsid w:val="00E71BD1"/>
    <w:rsid w:val="00E73ACC"/>
    <w:rsid w:val="00E743B9"/>
    <w:rsid w:val="00E750FA"/>
    <w:rsid w:val="00E7687D"/>
    <w:rsid w:val="00E774FE"/>
    <w:rsid w:val="00E81087"/>
    <w:rsid w:val="00E85A3E"/>
    <w:rsid w:val="00E86ED9"/>
    <w:rsid w:val="00E8700B"/>
    <w:rsid w:val="00E877BD"/>
    <w:rsid w:val="00E91351"/>
    <w:rsid w:val="00E93F12"/>
    <w:rsid w:val="00E94934"/>
    <w:rsid w:val="00E957C9"/>
    <w:rsid w:val="00E969E7"/>
    <w:rsid w:val="00EA27B3"/>
    <w:rsid w:val="00EA2C02"/>
    <w:rsid w:val="00EA4F90"/>
    <w:rsid w:val="00EA6A9D"/>
    <w:rsid w:val="00EB099A"/>
    <w:rsid w:val="00EB244D"/>
    <w:rsid w:val="00EB2B0D"/>
    <w:rsid w:val="00EB2B70"/>
    <w:rsid w:val="00EB34C1"/>
    <w:rsid w:val="00EB3580"/>
    <w:rsid w:val="00EB3F63"/>
    <w:rsid w:val="00EB41D6"/>
    <w:rsid w:val="00EB675C"/>
    <w:rsid w:val="00EC00D9"/>
    <w:rsid w:val="00EC01F7"/>
    <w:rsid w:val="00EC0764"/>
    <w:rsid w:val="00EC0AC9"/>
    <w:rsid w:val="00EC16F6"/>
    <w:rsid w:val="00EC1A3B"/>
    <w:rsid w:val="00EC32E5"/>
    <w:rsid w:val="00EC477D"/>
    <w:rsid w:val="00EC4BD9"/>
    <w:rsid w:val="00EC5289"/>
    <w:rsid w:val="00EC56B0"/>
    <w:rsid w:val="00EC6133"/>
    <w:rsid w:val="00ED2CA8"/>
    <w:rsid w:val="00ED6218"/>
    <w:rsid w:val="00ED6AC4"/>
    <w:rsid w:val="00ED6C94"/>
    <w:rsid w:val="00ED743C"/>
    <w:rsid w:val="00ED7D36"/>
    <w:rsid w:val="00EE201F"/>
    <w:rsid w:val="00EE2B8D"/>
    <w:rsid w:val="00EE3230"/>
    <w:rsid w:val="00EE336F"/>
    <w:rsid w:val="00EE37F5"/>
    <w:rsid w:val="00EE43B9"/>
    <w:rsid w:val="00EE5D9E"/>
    <w:rsid w:val="00EE6139"/>
    <w:rsid w:val="00EF030A"/>
    <w:rsid w:val="00EF10DC"/>
    <w:rsid w:val="00EF545E"/>
    <w:rsid w:val="00EF5C8E"/>
    <w:rsid w:val="00EF6932"/>
    <w:rsid w:val="00F00285"/>
    <w:rsid w:val="00F02649"/>
    <w:rsid w:val="00F02ACE"/>
    <w:rsid w:val="00F10FA4"/>
    <w:rsid w:val="00F11216"/>
    <w:rsid w:val="00F12496"/>
    <w:rsid w:val="00F125DC"/>
    <w:rsid w:val="00F135EE"/>
    <w:rsid w:val="00F14459"/>
    <w:rsid w:val="00F15298"/>
    <w:rsid w:val="00F162C2"/>
    <w:rsid w:val="00F1679E"/>
    <w:rsid w:val="00F20B7E"/>
    <w:rsid w:val="00F223DD"/>
    <w:rsid w:val="00F2259E"/>
    <w:rsid w:val="00F23A6D"/>
    <w:rsid w:val="00F246DB"/>
    <w:rsid w:val="00F258C9"/>
    <w:rsid w:val="00F3036A"/>
    <w:rsid w:val="00F31A0F"/>
    <w:rsid w:val="00F3294E"/>
    <w:rsid w:val="00F3382D"/>
    <w:rsid w:val="00F3419C"/>
    <w:rsid w:val="00F34372"/>
    <w:rsid w:val="00F34586"/>
    <w:rsid w:val="00F35D09"/>
    <w:rsid w:val="00F362D3"/>
    <w:rsid w:val="00F36776"/>
    <w:rsid w:val="00F3717D"/>
    <w:rsid w:val="00F37755"/>
    <w:rsid w:val="00F37CE2"/>
    <w:rsid w:val="00F4014D"/>
    <w:rsid w:val="00F40CD3"/>
    <w:rsid w:val="00F42653"/>
    <w:rsid w:val="00F42BAA"/>
    <w:rsid w:val="00F42D16"/>
    <w:rsid w:val="00F450D8"/>
    <w:rsid w:val="00F4696C"/>
    <w:rsid w:val="00F50108"/>
    <w:rsid w:val="00F5084A"/>
    <w:rsid w:val="00F5180B"/>
    <w:rsid w:val="00F537CE"/>
    <w:rsid w:val="00F53C44"/>
    <w:rsid w:val="00F54EDA"/>
    <w:rsid w:val="00F55173"/>
    <w:rsid w:val="00F57D31"/>
    <w:rsid w:val="00F60111"/>
    <w:rsid w:val="00F62C6C"/>
    <w:rsid w:val="00F63AEB"/>
    <w:rsid w:val="00F64323"/>
    <w:rsid w:val="00F64B68"/>
    <w:rsid w:val="00F64F09"/>
    <w:rsid w:val="00F65208"/>
    <w:rsid w:val="00F65DA9"/>
    <w:rsid w:val="00F65F03"/>
    <w:rsid w:val="00F67446"/>
    <w:rsid w:val="00F70925"/>
    <w:rsid w:val="00F71DC2"/>
    <w:rsid w:val="00F72586"/>
    <w:rsid w:val="00F7316E"/>
    <w:rsid w:val="00F73356"/>
    <w:rsid w:val="00F7407F"/>
    <w:rsid w:val="00F77734"/>
    <w:rsid w:val="00F81849"/>
    <w:rsid w:val="00F81D7B"/>
    <w:rsid w:val="00F82123"/>
    <w:rsid w:val="00F8255C"/>
    <w:rsid w:val="00F84CE8"/>
    <w:rsid w:val="00F84E7F"/>
    <w:rsid w:val="00F8646D"/>
    <w:rsid w:val="00F87843"/>
    <w:rsid w:val="00F919EA"/>
    <w:rsid w:val="00F921DD"/>
    <w:rsid w:val="00F92CA7"/>
    <w:rsid w:val="00F92D66"/>
    <w:rsid w:val="00F938E6"/>
    <w:rsid w:val="00F95765"/>
    <w:rsid w:val="00F95988"/>
    <w:rsid w:val="00F95AB6"/>
    <w:rsid w:val="00FA03D9"/>
    <w:rsid w:val="00FA0D67"/>
    <w:rsid w:val="00FA1A56"/>
    <w:rsid w:val="00FA1E54"/>
    <w:rsid w:val="00FA371E"/>
    <w:rsid w:val="00FA58D0"/>
    <w:rsid w:val="00FB01DF"/>
    <w:rsid w:val="00FB06C2"/>
    <w:rsid w:val="00FB0D53"/>
    <w:rsid w:val="00FB0E43"/>
    <w:rsid w:val="00FB449B"/>
    <w:rsid w:val="00FB75E0"/>
    <w:rsid w:val="00FC046C"/>
    <w:rsid w:val="00FC0BA0"/>
    <w:rsid w:val="00FC0BDD"/>
    <w:rsid w:val="00FC227A"/>
    <w:rsid w:val="00FC54FC"/>
    <w:rsid w:val="00FC6E2A"/>
    <w:rsid w:val="00FC7133"/>
    <w:rsid w:val="00FD0456"/>
    <w:rsid w:val="00FD1FF1"/>
    <w:rsid w:val="00FD2573"/>
    <w:rsid w:val="00FD2C89"/>
    <w:rsid w:val="00FD3464"/>
    <w:rsid w:val="00FD36B1"/>
    <w:rsid w:val="00FD393B"/>
    <w:rsid w:val="00FD3C57"/>
    <w:rsid w:val="00FD4527"/>
    <w:rsid w:val="00FD53FD"/>
    <w:rsid w:val="00FD55C6"/>
    <w:rsid w:val="00FD5AAC"/>
    <w:rsid w:val="00FD61AB"/>
    <w:rsid w:val="00FD641D"/>
    <w:rsid w:val="00FD67A9"/>
    <w:rsid w:val="00FD7097"/>
    <w:rsid w:val="00FD78F1"/>
    <w:rsid w:val="00FE0123"/>
    <w:rsid w:val="00FE4ABD"/>
    <w:rsid w:val="00FF267B"/>
    <w:rsid w:val="00FF5378"/>
    <w:rsid w:val="00FF5EB4"/>
    <w:rsid w:val="00FF6018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4:docId w14:val="5E85EF87"/>
  <w15:chartTrackingRefBased/>
  <w15:docId w15:val="{AE59A3B7-8CB9-478A-AC39-8BACC150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D7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DB8"/>
    <w:pPr>
      <w:ind w:left="720"/>
    </w:pPr>
    <w:rPr>
      <w:rFonts w:eastAsia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E2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DB8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43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3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37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3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373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437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71E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1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450D8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Revision">
    <w:name w:val="Revision"/>
    <w:hidden/>
    <w:uiPriority w:val="99"/>
    <w:semiHidden/>
    <w:rsid w:val="00B2693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t">
    <w:name w:val="tt"/>
    <w:basedOn w:val="Normal"/>
    <w:rsid w:val="00AE3783"/>
    <w:pPr>
      <w:spacing w:before="100" w:beforeAutospacing="1" w:after="100" w:afterAutospacing="1"/>
    </w:pPr>
    <w:rPr>
      <w:rFonts w:eastAsia="Times New Roman"/>
      <w:lang w:eastAsia="ro-MD"/>
    </w:rPr>
  </w:style>
  <w:style w:type="paragraph" w:customStyle="1" w:styleId="cn">
    <w:name w:val="cn"/>
    <w:basedOn w:val="Normal"/>
    <w:rsid w:val="00F55173"/>
    <w:pPr>
      <w:spacing w:before="100" w:beforeAutospacing="1" w:after="100" w:afterAutospacing="1"/>
    </w:pPr>
    <w:rPr>
      <w:rFonts w:eastAsia="Times New Roman"/>
      <w:lang w:eastAsia="ro-MD"/>
    </w:rPr>
  </w:style>
  <w:style w:type="paragraph" w:customStyle="1" w:styleId="pb">
    <w:name w:val="pb"/>
    <w:basedOn w:val="Normal"/>
    <w:rsid w:val="00F55173"/>
    <w:pPr>
      <w:spacing w:before="100" w:beforeAutospacing="1" w:after="100" w:afterAutospacing="1"/>
    </w:pPr>
    <w:rPr>
      <w:rFonts w:eastAsia="Times New Roman"/>
      <w:lang w:eastAsia="ro-MD"/>
    </w:rPr>
  </w:style>
  <w:style w:type="character" w:styleId="UnresolvedMention">
    <w:name w:val="Unresolved Mention"/>
    <w:basedOn w:val="DefaultParagraphFont"/>
    <w:uiPriority w:val="99"/>
    <w:semiHidden/>
    <w:unhideWhenUsed/>
    <w:rsid w:val="006C1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36c5e0b7-704d-4ebe-b166-3deaf1c47442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6BAB-D334-42BA-82F3-F8666799F09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4E21B32-927C-4F4E-B915-CBDC810E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6491</Words>
  <Characters>37649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44052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2024-12-18T06:52:00Z</dcterms:created>
  <cp:lastPrinted>2022-05-12T10:56:00Z</cp:lastPrinted>
  <dcterms:modified xsi:type="dcterms:W3CDTF">2024-12-18T06:52:00Z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36c5e0b7-704d-4ebe-b166-3deaf1c47442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ClassificationContentMarkingHeaderShapeIds">
    <vt:lpwstr>1,2,3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SP-3</vt:lpwstr>
  </property>
  <property fmtid="{D5CDD505-2E9C-101B-9397-08002B2CF9AE}" pid="8" name="ClassificationContentMarkingFooterShapeIds">
    <vt:lpwstr>4,5,6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Atenţie! Se interzice deţinerea, sustragerea, alterarea, multiplicarea, distrugerea sau folosirea acestui document fără a dispune de drept de acces autorizat.</vt:lpwstr>
  </property>
  <property fmtid="{D5CDD505-2E9C-101B-9397-08002B2CF9AE}" pid="11" name="MSIP_Label_a2eb1982-abd5-477c-86f5-395dbee9865d_Enabled">
    <vt:lpwstr>true</vt:lpwstr>
  </property>
  <property fmtid="{D5CDD505-2E9C-101B-9397-08002B2CF9AE}" pid="12" name="MSIP_Label_a2eb1982-abd5-477c-86f5-395dbee9865d_SetDate">
    <vt:lpwstr>2024-11-28T09:44:15Z</vt:lpwstr>
  </property>
  <property fmtid="{D5CDD505-2E9C-101B-9397-08002B2CF9AE}" pid="13" name="MSIP_Label_a2eb1982-abd5-477c-86f5-395dbee9865d_Method">
    <vt:lpwstr>Privileged</vt:lpwstr>
  </property>
  <property fmtid="{D5CDD505-2E9C-101B-9397-08002B2CF9AE}" pid="14" name="MSIP_Label_a2eb1982-abd5-477c-86f5-395dbee9865d_Name">
    <vt:lpwstr>SP-3</vt:lpwstr>
  </property>
  <property fmtid="{D5CDD505-2E9C-101B-9397-08002B2CF9AE}" pid="15" name="MSIP_Label_a2eb1982-abd5-477c-86f5-395dbee9865d_SiteId">
    <vt:lpwstr>5887d430-0034-4561-b771-12c77faf2fa0</vt:lpwstr>
  </property>
  <property fmtid="{D5CDD505-2E9C-101B-9397-08002B2CF9AE}" pid="16" name="MSIP_Label_a2eb1982-abd5-477c-86f5-395dbee9865d_ActionId">
    <vt:lpwstr>2493545c-a2b3-401e-a9e9-e4f0d8e9234f</vt:lpwstr>
  </property>
  <property fmtid="{D5CDD505-2E9C-101B-9397-08002B2CF9AE}" pid="17" name="MSIP_Label_a2eb1982-abd5-477c-86f5-395dbee9865d_ContentBits">
    <vt:lpwstr>3</vt:lpwstr>
  </property>
</Properties>
</file>